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ACPR/397/2023 vom 11. April 2023</w:t>
      </w:r>
    </w:p>
    <w:p>
      <w:r>
        <w:t>GE Cour de justice, 2023-04-11, FR</w:t>
      </w:r>
    </w:p>
    <w:p>
      <w:r>
        <w:rPr>
          <w:b/>
        </w:rPr>
        <w:t xml:space="preserve">Quelle: </w:t>
      </w:r>
      <w:r>
        <w:t>https://mcp.opencaselaw.ch/entscheid/ge_gerichte_ACPR_397_2023</w:t>
      </w:r>
    </w:p>
    <w:p>
      <w:r>
        <w:t>FR: GE_GERICHTE ACPR/397/2023 du 11 avril 2023</w:t>
      </w:r>
    </w:p>
    <w:p>
      <w:r>
        <w:t>IT: GE_GERICHTE ACPR/397/2023 del 11 aprile 2023</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t>- 5/9 - PM/247/2023</w:t>
      </w:r>
    </w:p>
    <w:p>
      <w:r>
        <w:rPr>
          <w:b/>
        </w:rPr>
        <w:t>E. 1.3</w:t>
      </w:r>
    </w:p>
    <w:p>
      <w:r>
        <w:t>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1.4</w:t>
      </w:r>
    </w:p>
    <w:p>
      <w:r>
        <w:t>Les pièces nouvelles sont recevables (arrêt du Tribunal fédéral 1B_550/2022 du 17 novembre 2022 consid. 2.1).</w:t>
      </w:r>
    </w:p>
    <w:p>
      <w:r>
        <w:rPr>
          <w:b/>
        </w:rPr>
        <w:t>E. 2</w:t>
      </w:r>
    </w:p>
    <w:p>
      <w:r>
        <w:t>Le recourant estime qu'il remplit les conditions d'octroi de la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2.2</w:t>
      </w:r>
    </w:p>
    <w:p>
      <w:r>
        <w:t>En l'espèce, le recourant a subi les deux tiers de ses peines le 16 avril 2023, de sorte que la première condition posée par l'art. 86 al. 1 CP est réalisée.</w:t>
      </w:r>
    </w:p>
    <w:p>
      <w:r>
        <w:t>- 6/9 - PM/247/2023 Le recourant s'est par ailleurs comporté correctement en détention. S'agissant du risque de récidive, les désormais neuf condamnations du recourant, en particulier pour des infractions contre le patrimoine, dénotent effectivement une apparente absence de prise de conscience et un penchant pour la délinquance. Il doit toutefois être tenu compte du fait qu'il exécute l'intégralité des peines prononcées à son encontre depuis juin 2021 et n'a encore, dans ce cadre, jamais été libéré conditionnellement d'une peine, étant souligné que la libération conditionnelle dont il a bénéficié le 14 janvier 2022 concernait le traitement institutionnel des troubles mentaux (art. 59 CP) prononcé le 16 mai 2018. S'il n'a certes pas de projet de réinsertion concret puisqu'il n’a pas encore de promesse d'embauche ou de stage, il dispose toutefois d'un statut administratif stable (permis C), d'une curatelle auprès du SPAd, du soutien de l'Hospice Général, d'un suivi psychothérapeutique déjà organisé et de la possibilité d'un hébergement dans un hôtel, soit autant d'éléments permettant d'assurer un encadrement soutenant et de contenir le risque de réitération. Par conséquent, à l'instar du Ministère public, la Chambre de céans considère que les conditions de l'art. 86 al. 1 CP sont réalisées, le pronostic, bien que mitigé, n'étant pas encore défavorable, au sens des principes sus-évoqués. La libération conditionnelle du recourant sera dès lors ordonnée avec effet au jour où un logement sera mis à sa disposition et sera assortie d'un délai d'épreuve d'un an. Le recourant devra, dans le délai d'épreuve, sous forme de règles de conduite, poursuivre son traitement psychothérapeutique et se soumettre à des contrôles réguliers de son abstinence à l'alcool et aux stupéfiants. Une assistance de probation sera également ordonnée afin qu'il trouve une activité occupationnelle.</w:t>
      </w:r>
    </w:p>
    <w:p>
      <w:r>
        <w:rPr>
          <w:b/>
        </w:rPr>
        <w:t>E. 3</w:t>
      </w:r>
    </w:p>
    <w:p>
      <w:r>
        <w:t>Fondé, le recours sera donc admis. Le jugement querellé sera annulé et la libération conditionnelle du recourant prononcée aux conditions sus-décrites.</w:t>
      </w:r>
    </w:p>
    <w:p>
      <w:r>
        <w:rPr>
          <w:b/>
        </w:rPr>
        <w:t>E. 4</w:t>
      </w:r>
    </w:p>
    <w:p>
      <w:r>
        <w:t>L'admission du recours ne donne pas lieu à la perception de frais (art. 428 al. 1 CPP).</w:t>
      </w:r>
    </w:p>
    <w:p>
      <w:r>
        <w:rPr>
          <w:b/>
        </w:rPr>
        <w:t>E. 5</w:t>
      </w:r>
    </w:p>
    <w:p>
      <w:r>
        <w:t>Le recourant, qui obtient gain de cause, sollicite l’octroi de dépens totalisant CHF 2’400.-, correspondant à 6 heures d’activité au tarif de CHF 400.- du chef d'étude, au titre de : entretien avec le SPAd, déterminations (20 minutes), prise de connaissance du dossier (75 minutes), courriel au SPAd, procuration (5 minutes), lettre à la Chambre de céans (10 minutes), rédaction du recours et chargé de pièces (4 heures), lettre à la Chambre de céans (10 minutes).</w:t>
      </w:r>
    </w:p>
    <w:p>
      <w:r>
        <w:t>Une somme de CHF 1'600.- lui sera allouée, équivalant à quatre heures d’activité au tarif demandé – temps qui paraît adéquat pour accomplir les postes listés supra (étant</w:t>
      </w:r>
    </w:p>
    <w:p>
      <w:r>
        <w:t>- 7/9 - PM/247/2023 souligné que l'acte de recours comprend 12 pages, dont 5 de développements topiques en droit), majorées de la TVA à 7.7% (art. 429 al. 1 let. a CPP, applicable par le renvoi de l'art. 436 al. 1 CPP). * * * * *</w:t>
      </w:r>
    </w:p>
    <w:p>
      <w:r>
        <w:t>- 8/9 - PM/247/2023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