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ACPR/396/2024 vom 17. April 2024</w:t>
      </w:r>
    </w:p>
    <w:p>
      <w:r>
        <w:t>GE Cour de justice, 2024-04-17, FR</w:t>
      </w:r>
    </w:p>
    <w:p>
      <w:r>
        <w:rPr>
          <w:b/>
        </w:rPr>
        <w:t xml:space="preserve">Quelle: </w:t>
      </w:r>
      <w:r>
        <w:t>https://mcp.opencaselaw.ch/entscheid/ge_gerichte_ACPR_396_2024</w:t>
      </w:r>
    </w:p>
    <w:p>
      <w:r>
        <w:t>FR: GE_GERICHTE ACPR/396/2024 du 17 avril 2024</w:t>
      </w:r>
    </w:p>
    <w:p>
      <w:r>
        <w:t>IT: GE_GERICHTE ACPR/396/2024 del 17 aprile 2024</w:t>
      </w:r>
    </w:p>
    <w:p>
      <w:pPr>
        <w:pStyle w:val="Heading2"/>
      </w:pPr>
      <w:r>
        <w:t>Erwägungen</w:t>
      </w:r>
    </w:p>
    <w:p>
      <w:r>
        <w:rPr>
          <w:b/>
        </w:rPr>
        <w:t>E. 1</w:t>
      </w:r>
    </w:p>
    <w:p>
      <w:r>
        <w:t>Le recours est recevable pour avoir été déposé selon la forme et dans le délai prescrits (art. 384 let. b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du Tribunal fédéral 1B_344/2017 du 20 septembre 2017 consid. 4.1).</w:t>
      </w:r>
    </w:p>
    <w:p>
      <w:r>
        <w:rPr>
          <w:b/>
        </w:rPr>
        <w:t>E. 2.2</w:t>
      </w:r>
    </w:p>
    <w:p>
      <w:r>
        <w:t>À la lumière de ces principes, les charges demeurent, quoi qu’en dise le recourant, suffisantes et graves. Elles ne se sont pas amoindries avec l’évolution de</w:t>
      </w:r>
    </w:p>
    <w:p>
      <w:r>
        <w:t>- 6/12 - P/14536/2023 l’instruction depuis leur dernier examen par la Chambre de céans. Au contraire, l’évolution des investigations ne révèle pas de fait nouveau à décharge, qui aurait été méconnu ou ignoré par le premier juge. En particulier, on ne voit pas en quoi les explications de police scientifique fournies le 20 mars 2024 auraient changé quoi que ce soit aux conclusions du rapport écrit versé au dossier en septembre 2023 déjà, qu’elles explicitent et détaillent, mais n’infirment pas. Savoir si des aspects forensiques non totalement résolus confortent les explications (quand ce ne serait pas les supputations ou hypothèses) du recourant sera l’affaire du juge du fond, auquel la Chambre de céans n’a pas à se substituer. Dans ces circonstances, il est possible de renvoyer à la motivation adoptée par le TMC (art. 82 al. 4 CPP ; ATF 123 I 31 consid. 2c ; arrêts du Tribunal fédéral 7B_577/2023 du 31 octobre 2023 consid. 5.2.2. et 1B_378/2019 du 19 août 2019 consid. 2).</w:t>
      </w:r>
    </w:p>
    <w:p>
      <w:r>
        <w:rPr>
          <w:b/>
        </w:rPr>
        <w:t>E. 3</w:t>
      </w:r>
    </w:p>
    <w:p>
      <w:r>
        <w:t>Le recourant estime ne présenter aucun risque de réitération.</w:t>
      </w:r>
    </w:p>
    <w:p>
      <w:r>
        <w:rPr>
          <w:b/>
        </w:rPr>
        <w:t>E. 3.1</w:t>
      </w:r>
    </w:p>
    <w:p>
      <w:r>
        <w:t>L'art. 221 al. 1 let. c CPP, relatif au risque de récidive, a été modifié au 1er janvier 2024 (RO 2023 468), soit avant le prononcé attaqué : il présuppose désormais que l'auteur compromette sérieusement et de manière imminente la sécurité d'autrui en commettant des crimes ou des délits graves après avoir déjà commis des infractions du même genre. 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du 5 mars 2024, destiné à la publication, consid. 3.2 et 7B_1025/2023 du 23 janvier 2024 consid. 3.2).</w:t>
      </w:r>
    </w:p>
    <w:p>
      <w:r>
        <w:rPr>
          <w:b/>
        </w:rPr>
        <w:t>E. 3.2</w:t>
      </w:r>
    </w:p>
    <w:p>
      <w:r>
        <w:t>Selon la jurisprudence relative à l'art. 221 al. 1 let. c aCPP (dans sa teneur en vigueur jusqu'au 31 décembre 2023 [RO 2010 1881]) – transposable au nouveau droit (cf. arrêt du Tribunal fédéral 7B_155/2024,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143 IV 9 consid. 2.5).</w:t>
      </w:r>
    </w:p>
    <w:p>
      <w:r>
        <w:rPr>
          <w:b/>
        </w:rPr>
        <w:t>E. 3.3</w:t>
      </w:r>
    </w:p>
    <w:p>
      <w:r>
        <w:t>Bien qu'une application littérale de l'art. 221 al. 1 let. c CPP suppose l'existence d'antécédents, le risque de réitération peut être également admis dans des cas particuliers alors qu'il n'existe qu'un antécédent, voire aucun dans les cas les plus</w:t>
      </w:r>
    </w:p>
    <w:p>
      <w:r>
        <w:t>- 7/12 - P/14536/2023 graves. La prévention du risque de récidive doit en effet permettre de faire prévaloir l'intérêt à la sécurité publique sur la liberté personnelle du prévenu (ATF 137 IV 13 consid. 3 et 4).</w:t>
      </w:r>
    </w:p>
    <w:p>
      <w:r>
        <w:rPr>
          <w:b/>
        </w:rPr>
        <w:t>E. 3.4</w:t>
      </w:r>
    </w:p>
    <w:p>
      <w:r>
        <w:t>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 143 IV 9 consid. 2.7).</w:t>
      </w:r>
    </w:p>
    <w:p>
      <w:r>
        <w:rPr>
          <w:b/>
        </w:rPr>
        <w:t>E. 3.5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Dès lors, un pronostic défavorable est nécessaire (et en principe également suffisant) pour admettre l'existence d'un tel risque (ATF 146 IV 136 consid. 2.2; 143 IV 9 consid. 2.9).</w:t>
      </w:r>
    </w:p>
    <w:p>
      <w:r>
        <w:rPr>
          <w:b/>
        </w:rPr>
        <w:t>E. 3.6</w:t>
      </w:r>
    </w:p>
    <w:p>
      <w:r>
        <w:t>En l’espèce, la prévention du risque de récidive doit sans conteste permettre de faire prévaloir l'intérêt à la sécurité publique sur la liberté personnelle du recourant. Les faits sont d’une gravité toute particulière, puisque l’incendie de cave est à l’origine de deux morts et que, pour être survenu dans une cité densément peuplée, en sous-sol d’un immeuble de plusieurs étages, il a créé un sérieux danger collectif. La fin de la diffusion des émanations toxiques mortelles ne semble due qu’à la promptitude des secours, et encore leur intervention n’avait-elle pas été requise d’emblée pour ce sinistre-là, qui couvait en sous-sol, mais pour le feu de déchets encombrants, à l’extérieur. Il est donc sans importance que le recourant n’ait pas déjà été condamné pour incendie intentionnel.</w:t>
      </w:r>
    </w:p>
    <w:p>
      <w:r>
        <w:t>- 8/12 - P/14536/2023 Les conclusions de l’expertise psychiatrique vont aussi dans le sens d’un risque de réitération, certes qualifié de moyen, mais clairement corrélé à la dépendance du recourant à l’alcool, et sans avoir retenu de lien entre les actes poursuivis et une consommation « importante et inhabituelle » d’alcool, préalable à leur commission. Cette appréciation se réfère toutefois moins à la facilitation du passage à l’acte dans un tel état d’imbibition qu’à la détermination de la responsabilité du recourant lors des faits eux-mêmes, au sens de l’art. 20 CP. Le recourant paraît contester l’imminence de ce risque. Il faut lui opposer à ce sujet que, niant les faits et escomptant en être acquitté, il ne paraît pas s’être livré à une sérieuse introspection devant les experts, fournissant après dix mois d’enquête une adhésion possiblement de façade à une thérapie d’abstinence ; par surcroit, il resterait oisif à domicile, s’il recouvrait la liberté, et présente une impulsivité avérée et non contestée. Ces caractéristiques fondent un danger de réitération concret.</w:t>
      </w:r>
    </w:p>
    <w:p>
      <w:r>
        <w:rPr>
          <w:b/>
        </w:rPr>
        <w:t>E. 4</w:t>
      </w:r>
    </w:p>
    <w:p>
      <w:r>
        <w:t>Le recourant conteste présenter un risque de fuite.</w:t>
      </w:r>
    </w:p>
    <w:p>
      <w:r>
        <w:rPr>
          <w:b/>
        </w:rPr>
        <w:t>E. 4.1</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arrêts du Tribunal fédéral 7B_856/2023 du 21 novembre 2023 consid. 2.2.1 et 7B_706/2023 du 23 octobre 2023 consid. 4.2).</w:t>
      </w:r>
    </w:p>
    <w:p>
      <w:r>
        <w:rPr>
          <w:b/>
        </w:rPr>
        <w:t>E. 4.2</w:t>
      </w:r>
    </w:p>
    <w:p>
      <w:r>
        <w:t>En l’espèce, au TMC – qui a retenu, comme facteurs de fuite, la nationalité portugaise du recourant, sa pratique quasi-exclusive de la langue portugaise, le domicile au Portugal de membres de sa famille proche, ainsi que la peine menace et la perspective d’une expulsion obligatoire –, le recourant objecte vivre en Suisse depuis quarante ans, entretenir des liens très réguliers avec ses deux enfants et son petit-fils, domiciliés à Genève, s’être rendu épisodiquement au Portugal (« une ou deux reprises […] au cours des vingt dernières années ») et n’avoir ni l’état de santé ni les moyens financiers de pareil voyage. Il ajoute que le Tribunal fédéral aurait</w:t>
      </w:r>
    </w:p>
    <w:p>
      <w:r>
        <w:t>- 9/12 - P/14536/2023 laissé entendre que la perspective d’une expulsion obligatoire ne vaudrait qu’en cas de détention à des fins de sûreté. Le soutien allégué de ses enfants peut, certes, s’appuyer sur ce que l’un d’eux dit des liens paternels (pièces PP C-201, C-202, C-206), voire sur les permis de visiter en prison. Cela étant, au vu des faits les plus graves qui sont poursuivis, on n’a aucune garantie que le recourant conservera son logement, s’il est libéré. Une telle perspective de précarité, jointe à l’isolement social noté par les experts (rapport, p. 24), pourrait inciter le recourant, qui ne maîtrise pas le français (toutes ses auditions, y compris lors de l’expertise, se sont faites avec le concours d’un interprète) à choisir de se réfugier au Portugal, dont il ne serait alors pas extradable. À l’arrêt 1B_534/2017 du 12 janvier 2018 sur lequel voudrait s’appuyer le recourant – et qui a été rendu en matière de détention provisoire –, le Tribunal fédéral a exprimé ses doutes, non pas sur la pertinence de la perspective d'une expulsion obligatoire du prévenu (art. 66a al. 1 CP) ou d'une révocation de son permis d'établissement (art. 63 LÉI ; RS 142.20) comme indices du risque de fuite, mais sur l’éventuelle prise en considération, par le juge de la détention, de l’art. 66a al. 2 CP (consid. 5.2., 2e §). Or, cette disposition légale traite des conditions dans lesquelles le juge du fond a la faculté de renoncer à l’expulsion obligatoire, et il n’appartient effectivement pas au juge de la détention d’empiéter sur ses compétences. Au demeurant, le Tribunal fédéral a récemment confirmé, toujours en matière de détention provisoire, que l’exposition cumulée à une importante peine menace et à une expulsion obligatoire accroissaient le risque de fuite (arrêt 1B_371/2024 du 23 avril 2024 consid. 5.3.).</w:t>
      </w:r>
    </w:p>
    <w:p>
      <w:r>
        <w:rPr>
          <w:b/>
        </w:rPr>
        <w:t>E. 5</w:t>
      </w:r>
    </w:p>
    <w:p>
      <w:r>
        <w:t>Aucune des mesures de substitution suggérées par le recourant (séjour à [l'établissement public pour l'intégration] E______; thérapie cognitivo- comportementale ; traitement médicamenteux) ne s’avérerait un palliatif efficace au danger de réitération. Ces suggestions ne sont ni précisées ni étayées ; les deux dernières ont surgi en réplique, après que les experts les ont évoquées en audience contradictoire, le 6 mai 2024. Quoi qu’il en soit, le recourant, qui ne conteste pas être sans emploi, vivre de l’assistance publique et passer ses journées à domicile, entre consommation d’alcool, tabagisme et petites vacations, suggère un séjour en établissement spécialisé que les experts ne recommandent pas et qu’il avait lui-même quitté, par le passé, avant de retomber dans l’alcool. Les experts soulignent que la mise en place d’un traitement anti-alcoolique serait difficile, longue et entravée par les caractéristiques personnelles du recourant, sans réelle perspective de succès avant l’écoulement de plusieurs années. Or, il est frappant de constater, à les lire, que le recourant a présenté, par le passé, un épisode</w:t>
      </w:r>
    </w:p>
    <w:p>
      <w:r>
        <w:t>- 10/12 - P/14536/2023 de rupture de soins et deux démarches restées sans suite d’abstinence à l’alcool. Sa promesse sous forme de volte-face à ce sujet, en audience, le 6 mai 2024, prend donc une autre coloration et pourrait avoir été inspirée par le souhait d’obtenir avant tout sa libération. Enfin, aucune des mesures examinées ci-dessous n’offrirait de garantie contre le risque de fuite. Parmi celles qui y auraient trait, ni l’assignation à résidence (avec interdiction de quitter la Suisse et/ou la présentation périodique à la police et/ou le port d’un bracelet électronique) ni le dépôt de pièces d’identité étrangères (considéré comme sans effet, dans la mesure où l’autorité étrangère peut toujours délivrer de nouveaux documents à l’intéressé, cf. arrêt du Tribunal fédéral 1B_145/2023 du 12 avril 2023 consid. 5.2 et la référence) n'empêcheraient le départ par voie terrestre à l'étranger ou le passage dans la clandestinité. Qui pis est, dans la mesure où un séjour à E______ ne pourrait avoir qu’un caractère temporaire, l’assignation à résidence dans l’immeuble même où il est reproché au recourant d’avoir causé deux incendies concomitants, dont l’un avec suites mortelles, est inconcevable, à supposer que son bail reste en vigueur.</w:t>
      </w:r>
    </w:p>
    <w:p>
      <w:r>
        <w:rPr>
          <w:b/>
        </w:rPr>
        <w:t>E. 6</w:t>
      </w:r>
    </w:p>
    <w:p>
      <w:r>
        <w:t>Le principe de proportionnalité (art. 212 al. 3 CPP) n’apparaît pas enfreint. Si le recourant devait être condamné pour toutes les préventions retenues contre lui, la durée, à ce jour, de sa détention avant jugement n’atteindrait pas encore la peine à laquelle il pourrait être concrètement exposé, et ce, quelle que soit l’infraction qui serait retenue contre lui en concours avec l’incendie intentionnel.</w:t>
      </w:r>
    </w:p>
    <w:p>
      <w:r>
        <w:rPr>
          <w:b/>
        </w:rPr>
        <w:t>E. 7</w:t>
      </w:r>
    </w:p>
    <w:p>
      <w:r>
        <w:t>Le recours sera par conséquent rejeté.</w:t>
      </w:r>
    </w:p>
    <w:p>
      <w:r>
        <w:rPr>
          <w:b/>
        </w:rPr>
        <w:t>E. 8</w:t>
      </w:r>
    </w:p>
    <w:p>
      <w:r>
        <w:t>Le recourant supportera les frais de l'instance, fixés, émolument compris, à CHF 900.- (art. 428 al. 1 CPP et 13 al. 1 du Règlement fixant le tarif des frais en matière pénale, RTFMP ; E 4 10.03). * * * * *</w:t>
      </w:r>
    </w:p>
    <w:p>
      <w:r>
        <w:t>- 11/12 - P/14536/2023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