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ACPR/395/2026 vom 20. April 2026</w:t>
      </w:r>
    </w:p>
    <w:p>
      <w:r>
        <w:t>GE Cour de justice, 2026-04-20, FR</w:t>
      </w:r>
    </w:p>
    <w:p>
      <w:r>
        <w:rPr>
          <w:b/>
        </w:rPr>
        <w:t xml:space="preserve">Quelle: </w:t>
      </w:r>
      <w:r>
        <w:t>https://mcp.opencaselaw.ch/entscheid/ge_gerichte_ACPR_395_2026</w:t>
      </w:r>
    </w:p>
    <w:p>
      <w:r>
        <w:t>FR: GE_GERICHTE ACPR/395/2026 du 20 avril 2026</w:t>
      </w:r>
    </w:p>
    <w:p>
      <w:r>
        <w:t>IT: GE_GERICHTE ACPR/395/2026 del 20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t>- 6/11 - P/5509/2026</w:t>
      </w:r>
    </w:p>
    <w:p>
      <w:r>
        <w:rPr>
          <w:b/>
        </w:rPr>
        <w:t>E. 2</w:t>
      </w:r>
    </w:p>
    <w:p>
      <w:r>
        <w:t>Le recourant se plaint de ce que le Ministère public a refusé d'entrer en matière sur sa plainte du 27 février 2026.</w:t>
      </w:r>
    </w:p>
    <w:p>
      <w:r>
        <w:rPr>
          <w:b/>
        </w:rPr>
        <w:t>E. 2.1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138 IV 86 consid. 4.1; 137 IV 219 consid. 7).</w:t>
      </w:r>
    </w:p>
    <w:p>
      <w:r>
        <w:rPr>
          <w:b/>
        </w:rPr>
        <w:t>E. 2.2</w:t>
      </w:r>
    </w:p>
    <w:p>
      <w:r>
        <w:t>L'art. 138 ch. 1 al. 2 réprime quiconque, sans droit, emploie à son profit ou au profit d'un tiers des valeurs patrimoniales qui lui ont été confiées. Sur le plan objectif, l'infraction à l'art. 138 ch. 1 al. 2 CP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133 IV 21 consid. 6.2). Le comportement délictueux consiste à utiliser la valeur patrimoniale contrairement aux instructions reçues, en s'écartant de la destination fixée (ATF 129 IV 257 consid. 2.2.1; arrêt 6B_972/2022 du 12 janvier 2024 consid. 3.1.1). Un abus de confiance peut entrer exceptionnellement en ligne de compte dans le contexte d'un prêt. Ainsi, il est admis que les valeurs patrimoniales prêtées sont confiées lorsque leur affectation est clairement prédéfinie et sert en même temps à</w:t>
      </w:r>
    </w:p>
    <w:p>
      <w:r>
        <w:t>- 7/11 - P/5509/2026 assurer la couverture du risque du prêteur ou, à tout le moins, à diminuer le risque de perte. Dans un tel cas, l'utilisation de l'argent prêté, contrairement à la destination convenue, peut être constitutive d'abus de confiance (ATF 129 IV 257 consid. 2.2.2 et 2.3; arrêts 6B_972/2022 précité consid. 3.1.5). Ainsi, en cas de prêt, il y a emploi illicite de l'argent confié si le prêt a été consenti dans un but déterminé, correspondant aussi à l'intérêt du prêteur, et que l'emprunteur en fait une autre utilisation, dès lors qu'on peut déduire de l'accord contractuel un devoir de sa part de conserver constamment la contre-valeur de ce qu'il a reçu (ATF 129 IV 257 consid. 2.2.2; arrêt du Tribunal fédéral 6B_240/2024 du 9 janvier 2025 consid. 2.1). Du point de vue subjectif, l'auteur doit avoir agi intentionnellement et dans un dessein d'enrichissement illégitime, lequel peut être réalisé par dol éventuel (ATF 118 IV 32 consid. 2a; arrêt du Tribunal fédéral 6B_240/2024 précité).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consid. 6.1.2).</w:t>
      </w:r>
    </w:p>
    <w:p>
      <w:r>
        <w:rPr>
          <w:b/>
        </w:rPr>
        <w:t>E. 2.3</w:t>
      </w:r>
    </w:p>
    <w:p>
      <w:r>
        <w:t>L'art. 146 ch. 1 CP réprime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142 IV 153 consid. 2.2.2; 135 IV 76 consid. 5.2).</w:t>
      </w:r>
    </w:p>
    <w:p>
      <w:r>
        <w:rPr>
          <w:b/>
        </w:rPr>
        <w:t>E. 2.4</w:t>
      </w:r>
    </w:p>
    <w:p>
      <w:r>
        <w:t>En l'espèce, par "contrat de prêt" du 19 juillet 2023, A______ s'est engagé à verser CHF 150'000.- à titre d'investissement dans une promotion immobilière sur une parcelle sise chemin 3______ n° ______, [code postal] C______, consistant en la planification et la réalisation de trois villas, destinées à la vente. Il apparait, dès lors, que la somme investie a été prêtée dans un but déterminé, soit que les valeurs patrimoniales ont été "confiées" au sens de l'art. 138 ch. 1 al. 2 CP.</w:t>
      </w:r>
    </w:p>
    <w:p>
      <w:r>
        <w:t>- 8/11 - P/5509/2026 Le recourant soutient que le prêt n'a pas été utilisé conformément à la convention. Selon le registre foncier de la commune de C______, dès le 1er novembre 2023, B______, associé-gérant de E______ SÀRL, est devenu propriétaire des parcelles n° 1______ et 2______ sises à l'adresse précitée. Ainsi, la question à examiner n'est pas de savoir si la somme a bien été affectée au but prévu par le contrat, ce qui semble être le cas ici, mais si l'associé-gérant pouvait bénéficier de ce prêt et acquérir en son nom propre les parcelles litigieuses. Selon le "contrat de prêt", l'identité de la partie emprunteuse est ambiguë. Sur la page de garde du contrat, les parties sont désignées comme les "Promoteurs", soit E______ SÀRL et B______, et le "Prêteur", soit A______. L'expression "Promoteurs" est ensuite utilisée à la fois au singulier et au pluriel, de sorte que l'on ignore si elle fait référence à la société, à l'associé-gérant en cette qualité ou encore à ce dernier à titre personnel. Il est, par exemple, indiqué que le "Prêteur" mettait à disposition des "Promoteurs" CHF 150'000.- ou qu'il s'engageait à prêter la somme "pour le Promoteur" (cf. p. 2, préambule versus art. 1.1). Aussi, la parcelle devait être achetée "par les Promoteurs" (cf. p. 4, art. 3.3.). Enfin, les signatures semblent indiquer que le mis en cause a signé le contrat "pour" la société, à savoir en sa qualité d'associé-gérant, ce qui parait contradictoire avec ce qui précède. Dans cette confusion et sans préjudice de la véritable intention des parties, il n'apparait pas exclu que la volonté des parties ait été que B______ figurât, à titre personnel, comme partie au "contrat de prêt", ou qu'il l'ait a minima cru de bonne foi. Ainsi, il n'apparait pas insoutenable qu'il ait acheté les parcelles en cause en son nom, conformément à la convention des parties, ou ait pensé avoir agi de la sorte. À cela s'ajoute qu'il n'apparait pas, indépendamment de la question de l'identité de l'emprunteur, que les parties se seraient entendues sur la personne qui devait acquérir la propriété des parcelles litigieuses, entre la société ou l'associé-gérant de celle-ci. En outre, contrairement à ce que soutient le plaignant, il n'y a pas d'indice que la somme aurait été utilisée par le mis en cause ou la société pour régler d'autres dettes. Dans ces conditions, il n'existe, en l'état, ni soupçons suffisants ni motif légitime imposant l'ouverture d'une instruction sur la base de l'art. 138 CP.</w:t>
      </w:r>
    </w:p>
    <w:p>
      <w:r>
        <w:rPr>
          <w:b/>
        </w:rPr>
        <w:t>E. 2.5</w:t>
      </w:r>
    </w:p>
    <w:p>
      <w:r>
        <w:t>S'agissant de l'escroquerie, rien n'indique que le recourant aurait été trompé sur l'identité des parties ou sur leur solvabilité. Même à l'imaginer, cette tromperie n'aurait pas été "astucieuse". En effet, il appartenait au plaignant de procéder à des vérifications quant à la santé financière de sa/(ses) co-contractante(s), comme en sollicitant un extrait de l'Office des poursuites. Le plaignant ne pouvait en effet pas se fier</w:t>
      </w:r>
    </w:p>
    <w:p>
      <w:r>
        <w:t>- 9/11 - P/5509/2026 aveuglément à une déclaration de l'associé-gérant dans le contrat, alors qu'il ne connaissait ni la société ni ce dernier avant la conclusion du contrat litigieux. Au vu de ce qui précède, il n'existe ni soupçons suffisants ni motif légitime imposant l'ouverture d'une instruction sur la base de l'art. 146 CP.</w:t>
      </w:r>
    </w:p>
    <w:p>
      <w:r>
        <w:rPr>
          <w:b/>
        </w:rPr>
        <w:t>E. 2.6</w:t>
      </w:r>
    </w:p>
    <w:p>
      <w:r>
        <w:t>En réalité, comme l'a relevé le Ministère public, le litige entre les parties apparaît de nature essentiellement civile. Leur différend semble en effet davantage lié à l'interprétation du contrat, dont l'identité de la partie emprunteuse, de sorte qu'une non- entrée en matière s'imposait également pour ce motif. C'est à raison que le Ministère public a refusé d'entrer en matière sur la plainte du 27 février 2026. Ainsi les actes d'instruction sollicités par le plaignant, soit l'ordre de dépôt en lien avec le compte bancaire ouvert auprès de F______ et la perquisition des locaux de la société n'apparaissent pas utiles, et le séquestre pénal des parcelles concernées, dont les conditions ne sont pas réalisées, est inenvisageable.</w:t>
      </w:r>
    </w:p>
    <w:p>
      <w:r>
        <w:rPr>
          <w:b/>
        </w:rPr>
        <w:t>E. 3</w:t>
      </w:r>
    </w:p>
    <w:p>
      <w:r>
        <w:t>Justifiée, l'ordonnance querellée sera donc confirmée. Le recours, qui s'avère mal fondé, pouvait, dès lors, être traité sans échange d'écritures ni débats (art. 390 al. 2 et</w:t>
      </w:r>
    </w:p>
    <w:p>
      <w:r>
        <w:rPr>
          <w:b/>
        </w:rPr>
        <w:t>E. 5</w:t>
      </w:r>
    </w:p>
    <w:p>
      <w:r>
        <w:t>Corrélativement, le recourant ne saurait prétendre à l'octroi d'une indemnité. * * * * *</w:t>
      </w:r>
    </w:p>
    <w:p>
      <w:r>
        <w:t>- 10/11 - P/5509/2026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