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ACPR/394/2022 vom 28. April 2022</w:t>
      </w:r>
    </w:p>
    <w:p>
      <w:r>
        <w:t>GE Cour de justice, 2022-04-28, FR</w:t>
      </w:r>
    </w:p>
    <w:p>
      <w:r>
        <w:rPr>
          <w:b/>
        </w:rPr>
        <w:t xml:space="preserve">Quelle: </w:t>
      </w:r>
      <w:r>
        <w:t>https://mcp.opencaselaw.ch/entscheid/ge_gerichte_ACPR_394_2022</w:t>
      </w:r>
    </w:p>
    <w:p>
      <w:r>
        <w:t>FR: GE_GERICHTE ACPR/394/2022 du 28 avril 2022</w:t>
      </w:r>
    </w:p>
    <w:p>
      <w:r>
        <w:t>IT: GE_GERICHTE ACPR/394/2022 del 28 aprile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 Après le dépôt du recours, les mesures de substitution à la détention provisoire du recourant ont été prolongées jusqu'au 11 septembre 2022 par le TMC. Cette décision ultérieure se fonde sur des motifs analogues à ceux retenus dans l'ordonnance attaquée, de sorte que le recourant conserve un intérêt actuel et pratique au sens de l'art. 382 al. 1 CPP à l'examen de ses griefs (comp. avec l'arrêt du Tribunal fédéral 1B_134/2022 du 19 avril 2022 consid. 1 [art. 81 al. 1 let. a et b ch. 1 LTF] ; cf. aussi ACPR/18/2022 du 13 janvier 2022 consid. 1) .</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l'existence de charges suffisantes.</w:t>
      </w:r>
    </w:p>
    <w:p>
      <w:r>
        <w:rPr>
          <w:b/>
        </w:rPr>
        <w:t>E. 3.1</w:t>
      </w:r>
    </w:p>
    <w:p>
      <w:r>
        <w:t>Selon l'art. 237 al. 4 CPP, les dispositions sur la détention provisoire et la détention pour des motifs de sûreté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(ATF 141 IV 190 consid. 3.3).</w:t>
      </w:r>
    </w:p>
    <w:p>
      <w:r>
        <w:t>- 8/14 - P/19609/2021 Dans le cadre de l'examen des soupçons suffisants (art. 221 al. 1 CPP),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3.1 et 3.2 ; arrêt du Tribunal fédéral 1B_88/2022 du 29 mars 2022 consid. 2.1).</w:t>
      </w:r>
    </w:p>
    <w:p>
      <w:r>
        <w:rPr>
          <w:b/>
        </w:rPr>
        <w:t>E. 3.2</w:t>
      </w:r>
    </w:p>
    <w:p>
      <w:r>
        <w:t>En l'espèce, le recourant conteste l'existence de soupçons suffisants, motif pris qu'ils reposeraient uniquement sur le témoignage, selon lui contesté et peu crédible, de L______. Outre que cette critique a manifestement trait à l'appréciation des preuves, qui ne relève pas du juge de la détention, mais du juge du fond, on observe que le dossier contient plusieurs autres éléments à charge, dont la plainte et la déposition de la partie plaignante, mais aussi les déclarations de témoins entendus les 29 novembre 2021 et 28 janvier 2022 par le Ministère public et, avant cela, par la police. Ces autres éléments, que le recourant ne discute pas, constituent manifestement des indices sérieux au sens exigé par la jurisprudence, suffisants pour justifier, à ce stade de l'instruction, une prolongation des mesures de substitution. Quant aux conclusions de l'enquête administrative, dont le recourant fait grand cas, elles doivent être relativisées, dès lors qu'il ressort de l'instruction, notamment de l'audition du 29 novembre 2021 du représentant de la Ville de C______, que de nouveaux éléments à charge concernant le recourant étaient apparus postérieurement à la clôture de ladite enquête, laquelle a des visées différentes que celle d'une instruction pénale. Le grief sera rejeté.</w:t>
      </w:r>
    </w:p>
    <w:p>
      <w:r>
        <w:rPr>
          <w:b/>
        </w:rPr>
        <w:t>E. 4</w:t>
      </w:r>
    </w:p>
    <w:p>
      <w:r>
        <w:t>Le recourant conteste le risque de collusion avec F______.</w:t>
      </w:r>
    </w:p>
    <w:p>
      <w:r>
        <w:rPr>
          <w:b/>
        </w:rPr>
        <w:t>E. 4.1</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preuves. Pour retenir l'existence d'un risque de collusion au sens de l'art. 221 al. 1 let. b CPP, l'autorité doit démontrer que les circonstances particulières du cas d'espèce font apparaître un danger concret et sérieux de manœuvres propres à entraver la</w:t>
      </w:r>
    </w:p>
    <w:p>
      <w:r>
        <w:t>- 9/14 - P/19609/2021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3.2.2 ; arrêt du Tribunal fédéral 1B_687/2021 du 11 janvier 2022 consid. 4.1).</w:t>
      </w:r>
    </w:p>
    <w:p>
      <w:r>
        <w:rPr>
          <w:b/>
        </w:rPr>
        <w:t>E. 4.2</w:t>
      </w:r>
    </w:p>
    <w:p>
      <w:r>
        <w:t>En l'espèce, le recourant ne remet pas en question les liens d'amitié étroits qui l'unissent à F______, ni l'implication de ce dernier dans une partie au moins des faits qui lui sont reprochés, notamment en lien avec SCI G______ et B______ SA. Contrairement à ce que le recourant affirme, un risque de collusion avec les personnes impliquées – dont F______ – avait bien été retenu par la Chambre de céans dans son arrêt du 23 novembre 2021, avec la précision que ce risque devait être fortement relativisé au vu des enquêtes administratives et qu'il pouvait être suffisamment pallié par les mesures de substitution prononcées par le TMC et proposées par le recourant lui-même. Il n'en va pas autrement aujourd'hui, étant précisé que, comme il a été vu ci-dessus, le poids de l'argument lié à l'enquête administrative n'est plus le même qu'à l'époque, dès lors que cette dernière ne portait apparemment pas sur l'ensemble des faits aujourd'hui reprochés au recourant. Ce dernier ne saurait donc valablement affirmer que l'audition de F______ lors de l'enquête administrative aurait été exhaustive. À cela s'ajoute que, selon les déterminations du Ministère public du 1er décembre 2021, l'audition à venir du prénommé porterait sur l'ensemble de ses agissements, à savoir son rôle dans la SCI G______, mais aussi l'obtention des mandats de gré à gré de la Ville de C______, soit des faits similaires à ceux reprochés au recourant. Dans ces conditions, on ne peut exclure que le recourant puisse être tenté d'influencer les futures déclarations de son ami d'enfance et employeur actuel, ce qui justifie la prolongation des mesures de substitution prononcées en raison du risque de collusion. Le grief est rejeté.</w:t>
      </w:r>
    </w:p>
    <w:p>
      <w:r>
        <w:rPr>
          <w:b/>
        </w:rPr>
        <w:t>E. 5</w:t>
      </w:r>
    </w:p>
    <w:p>
      <w:r>
        <w:t>Le recourant invoque l'existence de faits nouveaux, qui commanderaient la modification des mesures de substitution.</w:t>
      </w:r>
    </w:p>
    <w:p>
      <w:r>
        <w:t>- 10/14 - P/19609/2021</w:t>
      </w:r>
    </w:p>
    <w:p>
      <w:r>
        <w:rPr>
          <w:b/>
        </w:rPr>
        <w:t>E. 5.1</w:t>
      </w:r>
    </w:p>
    <w:p>
      <w:r>
        <w:t>En vertu du principe de proportionnalité ancré à l'art. 36 al. 3 Cst., l'autorité doit tenter autant que possible de substituer à la détention toute autre mesure moins incisive propre à atteindre le même résultat (ATF 133 I 270 consid. 2.2). Le Code de procédure pénale le prévoit expressément à l'art. 237, en énumérant, de manière non exhaustive (cf. ATF 142 IV 367 consid. 2.1), certaines mesures de substitution, notamment l'interdiction de se rendre dans un certain lieu ou un certain immeuble (let. c) ou l'interdiction d'entretenir des relations avec certaines personnes (let. g). Une interdiction de travailler est également abordée en doctrine, par exemple lorsque l'infraction reprochée est en lien avec la place de travail ou avec la profession du prévenu (Y. JEANNERET / A. KUHN / C. PERRIER DEPEURSINGE [éds], Commentaire romand : Code de procédure pénale suisse, 2e éd., Bâle 2019, n. 14c ad art. 237). Les mesures de substitution ne sauraient sans autre être considérées comme des atteintes bénignes aux droits fondamentaux du prévenu (ATF 141 IV 190 consid. 3.3). À l'instar de la détention provisoire ou pour des motifs de sûreté, les mesures de substitution doivent en tout temps demeurer proportionnées au but poursuivi, tant par leur nature que par leur durée (ATF 140 IV 74 consid. 2.2).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 loi (arrêt du Tribunal fédéral 1B_485/2019 du 12 novembre 2019 consid. 3.1).</w:t>
      </w:r>
    </w:p>
    <w:p>
      <w:r>
        <w:rPr>
          <w:b/>
        </w:rPr>
        <w:t>E. 5.2</w:t>
      </w:r>
    </w:p>
    <w:p>
      <w:r>
        <w:t>En l'espèce, le recourant, s'il prétend être privé de travail et ne plus percevoir de salaire depuis presque six mois, admet également être en arrêt maladie et avoir dans ce cadre touché des indemnités perte de gain, lesquelles auraient toutefois pris fin en avril 2022. Il ne produit aucune pièce à l'appui de ces (nouvelles) affirmations et n'explique pas en quoi il aurait été privé de la possibilité de le faire. Le risque de perdre son emploi, s'il ne peut être exclu, doit toutefois être nuancé, compte tenu des relations existant entre le recourant et F______. Ici aussi, aucune pièce ne vient attester que ce risque serait réel et imminent. En tout état, les mesures de substitution proposées à titre subsidiaire par le recourant, consistant à lui permettre de reprendre son emploi auprès de B______ SA, mais en télétravail ou uniquement sur les chantiers à l'extérieur, n'apparaissent pas réalistes au vu de la position occupée par F______ au sein de ladite société et du domaine d'activité concerné (bâtiment), qui suppose des contacts fréquents. De telles mesures, au demeurant difficilement contrôlables par l'autorité, sont ainsi inaptes à pallier le risque de collusion existant en l'état avec le prénommé.</w:t>
      </w:r>
    </w:p>
    <w:p>
      <w:r>
        <w:t>- 11/14 - P/19609/2021 Cela étant, on ne peut ignorer que les mesures de substitution litigieuses, notamment celle qui fait interdiction au recourant de reprendre son emploi chez son employeur actuel, constituent une atteinte importante à sa liberté personnelle et doivent rester proportionnées au but poursuivi, notamment quant à leur durée. Dans la mesure où le recourant invoque cette circonstance à l'appui de son grief de violation du principe de la célérité, elle sera examinée dans ce cadre (consid. 6. infra). Le grief sera rejeté.</w:t>
      </w:r>
    </w:p>
    <w:p>
      <w:r>
        <w:rPr>
          <w:b/>
        </w:rPr>
        <w:t>E. 6</w:t>
      </w:r>
    </w:p>
    <w:p>
      <w:r>
        <w:t>Le recourant se plaint enfin d'une violation du principe de la célérité (art. 5 CPP), devant entraîner la levée des mesures de substitution.</w:t>
      </w:r>
    </w:p>
    <w:p>
      <w:r>
        <w:rPr>
          <w:b/>
        </w:rPr>
        <w:t>E. 6.1</w:t>
      </w:r>
    </w:p>
    <w:p>
      <w:r>
        <w:t>La levée des mesures de substitution en raison d'un retard dans la procédure n'entre en considération que si ce manquement est particulièrement grave et qu'il apparaît au surplus que l'autorité ne serait plus en mesure de conduire la procédure à chef dans un délai raisonnable (ATF 140 IV 74 consid. 3.2). Pour procéder à cette appréciation, les circonstances d'espèce sont déterminantes ; il y a également lieu de tenir compte de la complexité de l'affaire et du comportement du prévenu (arrêt du Tribunal fédéral 1B_77/2021 du 23 mars 2021 consid. 2.1).</w:t>
      </w:r>
    </w:p>
    <w:p>
      <w:r>
        <w:rPr>
          <w:b/>
        </w:rPr>
        <w:t>E. 6.2</w:t>
      </w:r>
    </w:p>
    <w:p>
      <w:r>
        <w:t>En l'espèce, quoi qu'en dise le recourant – qui n'a pas déposé de recours pour déni de justice –, on ne saurait retenir l'existence d'un grave retard dans la procédure menée par le Ministère public. Depuis l'ouverture de l'instruction, ce dernier a procédé lui-même à – ou délégué à la police – de nombreux actes d'enquête, dont les auditions des trois prévenus et de plusieurs témoins, mais aussi l'analyse des données informatiques et des téléphones des prévenus. De nouvelles auditions et, apparemment, des mises en prévention complémentaires sont annoncées. La procédure, qui compte déjà trois prévenus et porte sur différents complexes de faits, n'est pas dénuée de toute complexité et n'en est encore manifestement qu'à ses débuts. Rien ne permet d'affirmer que l'autorité ne serait pas ou plus à même de la mener à bien dans un délai raisonnable. Certes, on doit constater, avec le recourant, que la mesure de substitution litigieuse, qui lui interdit de reprendre son emploi chez B______ SA, a été prononcée puis prolongée principalement en raison du risque de collusion existant avec F______, et que ce dernier n'a toujours pas été entendu par le Ministère public. Dans la mesure toutefois où, comme on l'a vu, l'audition du prénommé doit porter sur plusieurs complexes de faits, il n'apparaît en soi pas critiquable, pour l'autorité d'instruction, de s'être d'abord concentrée sur l'analyse des données informatiques des prévenus et des travaux effectués sur la Ville de C______ (cf. le pli du 25 avril 2022 au TMC) avant de l'entendre. Le grief est rejeté.</w:t>
      </w:r>
    </w:p>
    <w:p>
      <w:r>
        <w:t>- 12/14 - P/19609/2021</w:t>
      </w:r>
    </w:p>
    <w:p>
      <w:r>
        <w:rPr>
          <w:b/>
        </w:rPr>
        <w:t>E. 7</w:t>
      </w:r>
    </w:p>
    <w:p>
      <w:r>
        <w:t>Justifiée, l'ordonnance querellée sera donc confirmée.</w:t>
      </w:r>
    </w:p>
    <w:p>
      <w:r>
        <w:rPr>
          <w:b/>
        </w:rPr>
        <w:t>E. 8</w:t>
      </w:r>
    </w:p>
    <w:p>
      <w:r>
        <w:t>Le recourant, qui succombe, supportera les frais envers l'État, fixés en totalité à CHF 800.- (art. 428 al. 1 CPP et 13 al. 1 du Règlement fixant le tarif des frais en matière pénale, RTFMP ; E 4 10.03). * * * * *</w:t>
      </w:r>
    </w:p>
    <w:p>
      <w:r>
        <w:t>- 13/14 - P/19609/2021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