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ACPR/394/2020 vom 12. Februar 2020</w:t>
      </w:r>
    </w:p>
    <w:p>
      <w:r>
        <w:t>GE Cour de justice, 2020-02-12, FR</w:t>
      </w:r>
    </w:p>
    <w:p>
      <w:r>
        <w:rPr>
          <w:b/>
        </w:rPr>
        <w:t xml:space="preserve">Quelle: </w:t>
      </w:r>
      <w:r>
        <w:t>https://mcp.opencaselaw.ch/entscheid/ge_gerichte_ACPR_394_2020</w:t>
      </w:r>
    </w:p>
    <w:p>
      <w:r>
        <w:t>FR: GE_GERICHTE ACPR/394/2020 du 12 février 2020</w:t>
      </w:r>
    </w:p>
    <w:p>
      <w:r>
        <w:t>IT: GE_GERICHTE ACPR/394/2020 del 12 febbraio 2020</w:t>
      </w:r>
    </w:p>
    <w:p>
      <w:pPr>
        <w:pStyle w:val="Heading2"/>
      </w:pPr>
      <w:r>
        <w:t>Erwägungen</w:t>
      </w:r>
    </w:p>
    <w:p>
      <w:r>
        <w:rPr>
          <w:b/>
        </w:rPr>
        <w:t>E. 1</w:t>
      </w:r>
    </w:p>
    <w:p>
      <w:r>
        <w:t>L'acte soumis à la Chambre de céans est un recours contre le ch. 2 du dispositif de l'ordonnance de classement du 12 février 2020. Il est déposé selon la forme et dans le délai prescrits (art. 385 al. 1 et 396 al. 1 CPP), concerne un point d'ordonnance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Bien que très sommaire, la motivation (art. 385 al. 1 let. b CPP) permet de comprendre les griefs du recourant, qui agit en personne. 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 P/11154/2019</w:t>
      </w:r>
    </w:p>
    <w:p>
      <w:r>
        <w:rPr>
          <w:b/>
        </w:rPr>
        <w:t>E. 3</w:t>
      </w:r>
    </w:p>
    <w:p>
      <w:r>
        <w:t>Le recourant reproche au Ministère public d'avoir mis les frais de la procédure à sa charge.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10 CPP, 32 al. 1 Cst. et</w:t>
      </w:r>
    </w:p>
    <w:p>
      <w:r>
        <w:rPr>
          <w:b/>
        </w:rPr>
        <w:t>E. 3.2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(ATF 119 1a 332 consid. 1 b p. 334 ; ATF 116 1a 162 consid. 2c p. 170 = SJ 1991 27 ; arrêts du Tribunal fédéral 6B_156/2017 du 22 décembre 2017 consid. 4.4 ; 6B_1172/2016 du 29 août 2017 consid. 1.3 ; 6B_1146/2016 du 14 juillet 2017 consid. 1.3 = SJ 2018 I 197), sans</w:t>
      </w:r>
    </w:p>
    <w:p>
      <w:r>
        <w:t>- 5/8 - P/11154/2019 égard aux intérêts que cette norme vise à protéger (arrêts du Tribunal fédéral 6B_886/2018 du 31 octobre 2018 consid. 2.1.1 ; 6B_156/2017 du 22 décembre 2017 consid. 4.4). L’art. 426 al. 2 CPP exige non seulement que le prévenu ait adopté un comportement illicite ayant causé l’ouverture de la procédure pénale, mais également une faute. La faute exigée doit s'apprécier selon des critères objectifs : il ne suffit pas que l'attitude du prévenu contrevienne à l'éthique (ATF 116 1a 162 consid. 2d). L'acte répréhensible n'a pas à être commis intentionnellement. La négligence suffit, sans qu'il y ait besoin qu'elle soit grossière (ATF 109 Ia 160 consid. 4a; arrêt du Tribunal fédéral 6B_184/2013 du 1er octobre 2013 consid. 7.1). Enfin, le comportement illicite du prévenu doit se trouver dans un rapport de causalité naturelle et adéquate avec l’ouverture de la procédure pénale (arrêt du Tribunal fédéral 6B_156/2017 du 22 décembre 2017 consid. 5 et les références citées).</w:t>
      </w:r>
    </w:p>
    <w:p>
      <w:r>
        <w:rPr>
          <w:b/>
        </w:rPr>
        <w:t>E. 3.3</w:t>
      </w:r>
    </w:p>
    <w:p>
      <w:r>
        <w:t>À teneur l’art. 276 CC, les père et mère doivent pourvoir à l’entretien de l’enfant (al. 1). L’entretien est assuré, lorsque l’enfant n’est pas sous la garde de ses père et mère, par des prestations pécuniaires (al. 2). Selon l’art. 285 al. 1 CC, la contribution d’entretien doit correspondre aux besoins de l’enfant ainsi qu’à la situation et aux ressources de ses père et mère ; il est tenu compte de la fortune et des revenus de l’enfant. Les conventions relatives aux contributions d’entretien n’obligent l’enfant qu’après avoir été approuvées par l’autorité de protection de l’enfant (art. 287 al. 1 CC). Conformément à l’art. 289 al. 1 CC, les contributions d’entretien sont dues à l’enfant et sont versées durant sa minorité à son représentant légal ou au parent qui en assume la garde.</w:t>
      </w:r>
    </w:p>
    <w:p>
      <w:r>
        <w:rPr>
          <w:b/>
        </w:rPr>
        <w:t>E. 3.4</w:t>
      </w:r>
    </w:p>
    <w:p>
      <w:r>
        <w:t>En l’espèce, dans le cadre d'une infraction poursuivie sur plainte, le recourant a admis avoir, de janvier à mai 2019, omis de verser au SCARPA la contribution d’entretien de CHF 600.- par mois due à sa fille, conformément à la convention ratifiée par le Tribunal tutélaire. Ainsi, en ne versant aucune somme pour la période concernée, le prévenu a contrevenu de manière fautive à ses devoirs résultant du droit de la famille. C’est donc ce comportement du recourant qui a légitimement mené à l’ouverture de la procédure pénale. La procédure n’a pas été menée à son terme en raison de l’accord intervenu avec le SCARPA – qui n’a en rien porté sur une diminution des obligations fixées dans la convention du 25 octobre 2010 – ayant conduit au retrait de la plainte, ce qui constituait un empêchement de procéder (art. 319 al. 1 let. d CPP). Les conditions de l'art. 426 CPP étant remplies, c'est à bon droit que le Ministère public a condamné le recourant aux frais de la procédure.</w:t>
      </w:r>
    </w:p>
    <w:p>
      <w:r>
        <w:t>- 6/8 - P/11154/2019 Le montant des frais (CHF 510.-), qui ne paraît pas contesté, n'est pas critiquable au vu des actes entrepris par le Ministère public. Les difficultés financières alléguées par le recourant ne constituent pas un motif d'exonération. 4. Justifiée, l'ordonnance querellée sera donc confirmée. 5. Le recourant, qui succombe, supportera les frais envers l'État, fixés en totalité à CHF 300.- (art. 428 al. 1 CPP et 13 al. 1 du Règlement fixant le tarif des frais en matière pénale, RTFMP ; E 4 10.03).</w:t>
      </w:r>
    </w:p>
    <w:p>
      <w:r>
        <w:t>* * * * *</w:t>
      </w:r>
    </w:p>
    <w:p>
      <w:r>
        <w:t>- 7/8 - P/11154/2019</w:t>
      </w:r>
    </w:p>
    <w:p>
      <w:r>
        <w:rPr>
          <w:b/>
        </w:rPr>
        <w:t>E. 6</w:t>
      </w:r>
    </w:p>
    <w:p>
      <w:r>
        <w:t>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 du Tribunal fédéral 6B_385/2017 du 5 décembre 2017 consid. 2.1 ; 6B_1176/2015 du 23 novembre 2016 consid. 1.1 ;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 L’art. 426 al. 2 CPP est susceptible de s’appliquer dans le cadre d’un retrait de plainte pour une infraction poursuivie sur plainte (arrêt du Tribunal fédéral 6B_1065/2015 du 15 septembre 2016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