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ACPR/38/2020 vom 26. November 2019</w:t>
      </w:r>
    </w:p>
    <w:p>
      <w:r>
        <w:t>GE Cour de justice, 2019-11-26, FR</w:t>
      </w:r>
    </w:p>
    <w:p>
      <w:r>
        <w:rPr>
          <w:b/>
        </w:rPr>
        <w:t xml:space="preserve">Quelle: </w:t>
      </w:r>
      <w:r>
        <w:t>https://mcp.opencaselaw.ch/entscheid/ge_gerichte_ACPR_38_2020</w:t>
      </w:r>
    </w:p>
    <w:p>
      <w:r>
        <w:t>FR: GE_GERICHTE ACPR/38/2020 du 26 novembre 2019</w:t>
      </w:r>
    </w:p>
    <w:p>
      <w:r>
        <w:t>IT: GE_GERICHTE ACPR/38/2020 del 26 novembre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des prévenus qui, parties à la procédure (art. 104 al. 1 let. a CPP), ont qualité pour agir, ayant un intérêt juridiquement protégé à la modification ou à l'annulation de la décision querellée (art. 382 al. 1 CPP).</w:t>
      </w:r>
    </w:p>
    <w:p>
      <w:r>
        <w:t>- 4/6 - P/8131/2019</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À teneur de l'art. 314 al. 1 let. b CPP, le ministère public peut suspendre une instruction, lorsque l'issue de la procédure pénale dépend d'un autre procès dont il paraît indiqué d'attendre la fin. Cet autre procès peut être de nature civile, pénale ou administrative. Le ministère public dispose d'un large pouvoir d'appréciation pour décider d'une éventuelle suspension, mais il doit examiner si le résultat de l'autre procédure peut véritablement jouer un rôle pour le résultat de la procédure pénale suspendue et s'il simplifiera de manière significative l'administration des preuves dans cette même procédure. La suspension ne doit pas avoir pour effet de retarder de manière injustifiée la procédure en cours, mais des retards sont, en général, inévitables dans ce genre de situation (arrêt du Tribunal fédéral 1B_421/2012 du 19 juin 2013 consid. 2.1 et référence citée).</w:t>
      </w:r>
    </w:p>
    <w:p>
      <w:r>
        <w:rPr>
          <w:b/>
        </w:rPr>
        <w:t>E. 3.2</w:t>
      </w:r>
    </w:p>
    <w:p>
      <w:r>
        <w:t>En l'espèce, les faits reprochés sont les mêmes dans les deux procédures. Si la juridiction administrative n'a pas à se prononcer directement sur les accusations relevant d'infractions pénales, elle est appelée à juger du bien-fondé des allégués du SPC concernant le séjour en Suisse des recourants, l'existence de biens immobiliers et l'absence de déclarations de ces faits au SPC. Le juge devra ainsi procéder à l'établissement de faits, en particulier l'existence des malversations dont l'utilité au pénal est manifeste. Cette autorité n'a pas considéré devoir surseoir à statuer avant de demander aux parties de s'exprimer et aucune décision allant en ce sens, voire ordonnant la suspension, n'a été communiquée aux autorités pénales. La procédure administrative est, ainsi, plus avancée que celle au pénal, se trouvant très vraisemblablement au stade des enquêtes voire étant gardée à juger. La suspension repose ainsi sur des motifs objectifs, et opportun, répondant aux conditions de l'art. 314 al. 1 let. b CPP. L'ordonnance de suspension querellée sera ainsi confirmée.</w:t>
      </w:r>
    </w:p>
    <w:p>
      <w:r>
        <w:rPr>
          <w:b/>
        </w:rPr>
        <w:t>E. 4</w:t>
      </w:r>
    </w:p>
    <w:p>
      <w:r>
        <w:t>Les recourants, qui succombent, supporteront les frais envers l'État, qui seront fixés en totalité à CHF 900.- (art. 428 al. 1 CPP et 13 al. 1 du Règlement fixant le tarif des frais en matière pénale, RTFMP ; E 4 10.03).</w:t>
      </w:r>
    </w:p>
    <w:p>
      <w:r>
        <w:rPr>
          <w:b/>
        </w:rPr>
        <w:t>E. 5</w:t>
      </w:r>
    </w:p>
    <w:p>
      <w:r>
        <w:t>Il n'y a pas lieu d'indemniser à ce stade (cf. art. 135 al. 2 CPP) le défenseur d'office, qui n'a du reste pas chiffré sa demande.</w:t>
      </w:r>
    </w:p>
    <w:p>
      <w:r>
        <w:t>* * * * *</w:t>
      </w:r>
    </w:p>
    <w:p>
      <w:r>
        <w:t>- 5/6 - P/8131/2019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