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ACPR/385/2024 vom 15. April 2024</w:t>
      </w:r>
    </w:p>
    <w:p>
      <w:r>
        <w:t>GE Cour de justice, 2024-04-15, FR</w:t>
      </w:r>
    </w:p>
    <w:p>
      <w:r>
        <w:rPr>
          <w:b/>
        </w:rPr>
        <w:t xml:space="preserve">Quelle: </w:t>
      </w:r>
      <w:r>
        <w:t>https://mcp.opencaselaw.ch/entscheid/ge_gerichte_ACPR_385_2024</w:t>
      </w:r>
    </w:p>
    <w:p>
      <w:r>
        <w:t>FR: GE_GERICHTE ACPR/385/2024 du 15 avril 2024</w:t>
      </w:r>
    </w:p>
    <w:p>
      <w:r>
        <w:t>IT: GE_GERICHTE ACPR/385/2024 del 15 aprile 2024</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 ATF 143 IV 475 consid. 2.9 ; arrêt du Tribunal fédéral 1B_485/2021 du 26 novembre 2021 consid. 2.4 et 2.4.3).</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refusé de retirer du dossier le procès-verbal de son audition du 10 octobre 2023 par la police, qu'il estime avoir été obtenu au moyen de méthodes d'administration des preuves interdites (art. 140 CPP).</w:t>
      </w:r>
    </w:p>
    <w:p>
      <w:r>
        <w:t>- 5/9 - P/23379/2023</w:t>
      </w:r>
    </w:p>
    <w:p>
      <w:r>
        <w:rPr>
          <w:b/>
        </w:rPr>
        <w:t>E. 3.1</w:t>
      </w:r>
    </w:p>
    <w:p>
      <w:r>
        <w:t>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Les preuves administrées en violation de cette disposition ne sont en aucun cas exploitables (art. 141 al. 1 CPP). Les pièces y relatives doivent être retirées du dossier pénal, conservées à part jusqu'à la clôture définitive de la procédure, puis détruites (art. 141 al. 5 CPP).</w:t>
      </w:r>
    </w:p>
    <w:p>
      <w:r>
        <w:rPr>
          <w:b/>
        </w:rPr>
        <w:t>E. 3.2</w:t>
      </w:r>
    </w:p>
    <w:p>
      <w:r>
        <w:t>Au nombre des méthodes proscrites par l'art. 140 al. 1 CPP – disposition qui doit être interprétée de manière restrictive (cf. Y. JEANNERET / A. KUHN / C. PERRIER DEPEURSINGE [éds], Commentaire romand : Code de procédure pénale suisse, 2e éd., Bâle 2019, n. 3 ad art. 140) – figure notamment le recours à des produits alcoolisés, des stupéfiants ou des produits psychotropes dans le but de plonger le prévenu dans un état second (L. MOREILLON / A. PAREIN- REYMOND, Petit commentaire CPP, 2e éd., Bâle 2016, n. 4 ad art. 140 ; M. NIGGLI / M. HEER / H. WIPRÄCHTIGER [éds], Basler Kommentar StPO, 2e éd., Bâle 2014, n. 67 ad art. 140). Il faut que le moyen soit propre à réduire véritablement les facultés ou le libre arbitre de l'intéressé, ce qui doit s'apprécier en fonction des capacités de chacun. Suivant les circonstances, il conviendra de s'en remettre aux données scientifiques, notamment lorsque des médicaments, susceptibles d'affecter la vigilance du prévenu, lui ont été administrés pour des raisons de santé (Y. JEANNERET / A. KUHN / C. PERRIER DEPEURSINGE [éds], op. cit, n. 25 ad art. 140). La loi vise uniquement un comportement actif de la part des autorités, qui font elles- mêmes usage de moyens prohibés. Toutefois, la doctrine s'accorde à dire qu'une attitude passive, consistant à profiter d'un état de diminution préexistant de l'intéressé – par ex. la prise de médicaments ou de stupéfiants altérant les facultés intellectuelles du sujet –, est également couverte par l'art. 141 al. 1 CPP, en vertu du principe de la bonne foi (art. 3 al. 2 let. a CPP) (Y. JEANNERET / A. KUHN / C. PERRIER DEPEURSINGE [éds], op. cit, n. 27 ad art. 140 ; voir aussi A. DONATSCH / V. LIEBER / S. SUMMERS / W. WOHLERS [éds], Kommentar zur Schweizerischen Strafprozessordnung (StPO), 3e éd., Zurich 2020, n. 4 ad art. 140 et nbp 42 ; M. NIGGLI / M. HEER / H. WIPRÄCHTIGER [éds], op. cit., n. 69 ad art. 140).</w:t>
      </w:r>
    </w:p>
    <w:p>
      <w:r>
        <w:rPr>
          <w:b/>
        </w:rPr>
        <w:t>E. 3.3</w:t>
      </w:r>
    </w:p>
    <w:p>
      <w:r>
        <w:t>Toutefois, n'importe quelle altération physique ou psychique ne suffit pas, la doctrine faisant ici un parallèle avec la capacité de prendre part aux débats de l'art. 114 CPP (N. SCHMID / D. JOSITSCH, Schweizerische Strafprozessordnung, Praxiskommentar, 3e éd., Zurich 2018, n. 2 ad art. 140).</w:t>
      </w:r>
    </w:p>
    <w:p>
      <w:r>
        <w:t>- 6/9 - P/23379/2023 Selon l'art. 114 al. 1 CPP, le prévenu est capable de prendre part aux débats s'il est physiquement et mentalement apte à les suivre. Le prévenu doit être en état physique et psychique de participer aux audiences et aux actes de la procédure (Verhandlungsfähigkeit), en faisant usage de tous les moyens de défense pertinents (Verteidigungsfähigkeit) et en étant apte à répondre normalement aux questions qui lui sont posées (Vernehmungsfähigkeit). Les exigences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(arrêt du Tribunal fédéral 6B_123/2020 du 26 novembre 2020 consid. 2.1). Si le prévenu ne dispose que d'une capacité limitée à prendre part aux débats, il peut le faire avec l'assistance de son défenseur (art. 130 let. c CPP) ou de son éventuel représentant légal, pour autant qu'il en résulte une garantie adéquate des droits de la défense et que la collaboration personnelle du prévenu ne soit pas indispensable à l'acte d’instruction envisagé (Y. JEANNERET / A. KUHN / C. PERRIER DEPEURSINGE [éds], op. cit, n. 4 ad art. 114). En cas de doute sur la capacité du prévenu de prendre part aux débats, il y a lieu d'ordonner une expertise judiciaire (art. 251 al. 2 let. b CPP ; A. DONATSCH / V. LIEBER / S. SUMMERS / W. WOHLERS [éds], op. cit., n. 4 ad art. 114). Les actes dirigés contre un prévenu qui n'a pas la capacité de prendre part aux débats ne sont pas exploitables contre ce dernier (A. DONATSCH / V. LIEBER / S. SUMMERS / W. WOHLERS [éds], op. cit., n. 5 ad art. 114 ; L. MOREILLON / A. PAREIN-REYMOND, op. cit., n. 4 ad art. 114). Cela vaut particulièrement dans le cadre de la première audition du prévenu qui, en pratique, sera souvent décisive : l'équité de la procédure commande en effet que le prévenu ait non seulement la possibilité de se défendre de manière effective, mais qu'il soit également en capacité de le faire (R. FORNITO, Beweisverbote im schweizerischen Strafprozess, thèse Saint-Gall 2000, p. 100).</w:t>
      </w:r>
    </w:p>
    <w:p>
      <w:r>
        <w:rPr>
          <w:b/>
        </w:rPr>
        <w:t>E. 4</w:t>
      </w:r>
    </w:p>
    <w:p>
      <w:r>
        <w:t>En l'espèce, le recourant affirme qu'il n'était pas en état de répondre à la police et aurait, à plusieurs reprises, en vain, sollicité la présence d'un avocat. Certes, il ressort du dossier qu'il a requis l'intervention d'un médecin pour une crise d'anxiété, lequel lui a administré à 19h00 un Lexotanil 3 mg. Il a signé le formulaire de ses droits et obligations 20 minutes plus tard, sans autres commentaires, et a été entendu dès 19h32. Il ne prétend pas que ce médicament, ayant pour but de calmer sa crise d'anxiété, aurait eu pour effet de le plonger dans un état second. Le seul état d'anxiété et la prise d'un Lexotanil, dans son dosage médian (3 mg versus 1,5 et 6 mg) selon le compendium, directement accessible sur internet à l'adresse https://compendium.ch/fr/product/6046-lexotanil-tabl-1-5-mg/mpro consultée le</w:t>
      </w:r>
    </w:p>
    <w:p>
      <w:r>
        <w:t>- 7/9 - P/23379/2023 21 mai 2024), ne permettent pas de considérer que le recourant n'était pas physiquement et mentalement apte à participer à l'audition, au sens de l'art. 114 CPP, ni que la police aurait fait usage de moyens prohibés ou aurait profité d'un état de diminution préexistant de l'intéressé, dont elle se serait rendue compte. Lorsque l'audition a commencé, le recourant n'a fait aucune réserve sur son état; il a répondu clairement et sans difficultés aux questions posées, apportant même des éléments précis de son vécu (l'épisode du racket en Espagne par de faux policiers). Enfin, le stress post-traumatique évoqué par son médecin généraliste, consultant à E______, France, soit à 227 km du lieu de domicile du recourant, sis au F______, selon attestation du 28 mars 2024, pas plus que la prescription par ce médecin de divers médicaments, le 28 mars 2024 également, dont aucun n'a pour effet de traiter des troubles psychologiques, ne saurait démontrer a posteriori un état de santé et de vigilance altéré le 10 octobre 2023 au soir. Ce n'est en définitive qu'en réaction à la réception de l'ordonnance pénale du 1er février 2024 que le recourant a cherché à obtenir du Ministère public le retrait de sa déclaration faite près de quatre mois plus tôt. Il s'ensuit qu'il n'y pas lieu de déclarer le procès-verbal litigieux inexploitable (art. 141 al. 1 CPP), et encore moins de le retirer du dossier pénal (art. 145 al. 5 CPP). Justifiée, la décision querellée sera donc confirmée.</w:t>
      </w:r>
    </w:p>
    <w:p>
      <w:r>
        <w:rPr>
          <w:b/>
        </w:rPr>
        <w:t>E. 5</w:t>
      </w:r>
    </w:p>
    <w:p>
      <w:r>
        <w:t>Le recourant, qui succombe, supportera les frais envers l'État, fixés en totalité à CHF 1'000.- (art. 428 al. 1 CPP et 13 al. 1 du Règlement fixant le tarif des frais en matière pénale, RTFMP ; E 4 10.03). * * * * *</w:t>
      </w:r>
    </w:p>
    <w:p>
      <w:r>
        <w:t>- 8/9 - P/23379/2023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