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ACPR/385/2020 vom 22. November 2019</w:t>
      </w:r>
    </w:p>
    <w:p>
      <w:r>
        <w:t>GE Cour de justice, 2019-11-22, FR</w:t>
      </w:r>
    </w:p>
    <w:p>
      <w:r>
        <w:rPr>
          <w:b/>
        </w:rPr>
        <w:t xml:space="preserve">Quelle: </w:t>
      </w:r>
      <w:r>
        <w:t>https://mcp.opencaselaw.ch/entscheid/ge_gerichte_ACPR_385_2020</w:t>
      </w:r>
    </w:p>
    <w:p>
      <w:r>
        <w:t>FR: GE_GERICHTE ACPR/385/2020 du 22 novembre 2019</w:t>
      </w:r>
    </w:p>
    <w:p>
      <w:r>
        <w:t>IT: GE_GERICHTE ACPR/385/2020 del 22 novembre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Partant, le grief y relatif sera rejeté.</w:t>
      </w:r>
    </w:p>
    <w:p>
      <w:r>
        <w:rPr>
          <w:b/>
        </w:rPr>
        <w:t>E. 4</w:t>
      </w:r>
    </w:p>
    <w:p>
      <w:r>
        <w:t>La recourante fait grief au Ministère public de ne pas être entré en matière sur sa plainte pour escroquerie.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w:t>
      </w:r>
    </w:p>
    <w:p>
      <w:r>
        <w:t>- 7/11 - P/18402/2018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rPr>
          <w:b/>
        </w:rPr>
        <w:t>E. 4.2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Bâle 2019, n. 9 ad art. 310; R. PFISTER-LIECHTI (éd.), La procédure pénale fédérale, Fondation pour la formation continue des juges suisses, Berne 2010, p. 62).</w:t>
      </w:r>
    </w:p>
    <w:p>
      <w:r>
        <w:rPr>
          <w:b/>
        </w:rPr>
        <w:t>E. 4.3</w:t>
      </w:r>
    </w:p>
    <w:p>
      <w:r>
        <w:t>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 C. PERRIER DEPEURSINGE (éds), op. cit., n. 10 ad art. 310).</w:t>
      </w:r>
    </w:p>
    <w:p>
      <w:r>
        <w:rPr>
          <w:b/>
        </w:rPr>
        <w:t>E. 5.1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Ainsi en va-t-il,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w:t>
      </w:r>
    </w:p>
    <w:p>
      <w:r>
        <w:t>- 8/11 - P/18402/2018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6B_1010/2018 du 22 janvier 2019 consid. 3.3.1). Le principe de la coresponsabilité ne saurait cependant être utilisé pour nier trop aisément le caractère astucieux de la tromperie (arrêt du Tribunal fédéral 6B_319/2009 du 29 octobre 2009 consid. 2.2).</w:t>
      </w:r>
    </w:p>
    <w:p>
      <w:r>
        <w:rPr>
          <w:b/>
        </w:rPr>
        <w:t>E. 5.2</w:t>
      </w:r>
    </w:p>
    <w:p>
      <w:r>
        <w:t>En l'espèce, il apparaît que les questions relatives à la vente immobilière conclue entre les parties et aux prétendues violations des obligations contractuelles des mis en cause relèvent avant tout de la justice civile et administrative. Il ressort en outre – et surtout – de l'ensemble des pièces figurant au dossier que les éléments constitutifs de l'infraction d'escroquerie ne sont pas réunis, à l'instar de ce qu'a retenu le Ministère public. À cet égard, la recourante, qui a visité la propriété litigieuse à plusieurs reprises avant la vente, de surcroît en présence d'architectes, reproche aux mis en cause de lui avoir sciemment caché les défauts juridiques affectant le bien-fonds litigieux, en particulier l'absence d'autorisation portant sur les travaux d'augmentation de la surface d'habitation, par l'aménagement des combles. Les mis en cause, qui ont acquis la propriété litigieuse en 1987, soit cinq années après la réalisation de travaux non autorisés, contestent avoir eu connaissance desdits défauts et soutiennent avoir été convaincus que l'immeuble était au bénéfice de toutes les autorisations administratives nécessaires. Or, à teneur de la décision de constatation rendue par la Division juridique de la police des constructions le 24 octobre 2003, la transformation et l'agrandissement de la propriété litigieuse avaient été autorisées par le Département du territoire à l'époque, qui l'avait jugée conforme aux dispositions légales applicables. De plus, il ressort des photographies contenues dans l'état des lieux du 12 avril 1995, que l'ensemble des étages (dont les combles ainsi que les pièces situées au premier étage, considérés depuis comme non habitables) étaient affectés, à tout le moins à cette époque, à l'habitation par les mis en cause. Il apparaît ainsi peu crédible que ces derniers aient eu conscience d'un éventuel défaut juridique affectant la maison, qu'ils auraient de surcroît caché frauduleusement à la recourante, étant relevé qu'ils lui ont remis l'intégralité des documents en leur possession. La recourante n'allègue</w:t>
      </w:r>
    </w:p>
    <w:p>
      <w:r>
        <w:t>- 9/11 - P/18402/2018 d'ailleurs pas que ses vendeurs auraient dissimulé certains documents. Elle ne soutient pas davantage qu'elle aurait été d'une quelconque manière dissuadée de procéder à des vérifications auprès des autorités administratives avant l'acquisition du bien immobilier – qui se situe, au demeurant, en zone agricole, ce qui aurait dû l'inciter à une prudence accrue – étant relevé qu'elle avait constaté, lors de la première visite déjà, l'état vétuste de celui-ci (cf. Cour d'appel pénale du Tribunal cantonal vaudois, décision n° 1______ du 6 mai 2019, consid. 3.3, confirmé par l'arrêt du Tribunal fédéral 6B_____/2019 du ______ 2019). Force est ainsi de constater qu'aucun élément au dossier ne permet de retenir, ne serait-ce que sous l'angle de la vraisemblance, que les mis en cause étaient conscients de l'absence d'autorisation affectant le bien immobilier en question et qu'ils auraient trompé, de surcroît astucieusement, la recourante. Au vu de l'ensemble de ces éléments, la prévention pénale d'escroquerie était manifestement insuffisante pour ouvrir une instruction. Par conséquent, la décision du Ministère public ne prête pas le flanc à la critique. Les actes d'instructions sollicités par la recourante ne sont pas propres à modifier les considérations qui précédent.</w:t>
      </w:r>
    </w:p>
    <w:p>
      <w:r>
        <w:rPr>
          <w:b/>
        </w:rPr>
        <w:t>E. 6</w:t>
      </w:r>
    </w:p>
    <w:p>
      <w:r>
        <w:t>Justifiée, l'ordonnance querellée sera donc confirmée.</w:t>
      </w:r>
    </w:p>
    <w:p>
      <w:r>
        <w:rPr>
          <w:b/>
        </w:rPr>
        <w:t>E. 7</w:t>
      </w:r>
    </w:p>
    <w:p>
      <w:r>
        <w:t>La recourante, qui succombe, supportera les frais envers l'État, qui seront fixés en totalité à CHF 1'000.- (art. 428 al. 1 CPP et 13 al. 1 du Règlement fixant le tarif des frais en matière pénale, RTFMP ; E 4 10.03).</w:t>
      </w:r>
    </w:p>
    <w:p>
      <w:r>
        <w:t>* * * * *</w:t>
      </w:r>
    </w:p>
    <w:p>
      <w:r>
        <w:t>- 10/11 - P/18402/2018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