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ACPR/383/2024 vom 3. Oktober 2023</w:t>
      </w:r>
    </w:p>
    <w:p>
      <w:r>
        <w:t>GE Cour de justice, 2023-10-03, FR</w:t>
      </w:r>
    </w:p>
    <w:p>
      <w:r>
        <w:rPr>
          <w:b/>
        </w:rPr>
        <w:t xml:space="preserve">Quelle: </w:t>
      </w:r>
      <w:r>
        <w:t>https://mcp.opencaselaw.ch/entscheid/ge_gerichte_ACPR_383_2024</w:t>
      </w:r>
    </w:p>
    <w:p>
      <w:r>
        <w:t>FR: GE_GERICHTE ACPR/383/2024 du 3 octobre 2023</w:t>
      </w:r>
    </w:p>
    <w:p>
      <w:r>
        <w:t>IT: GE_GERICHTE ACPR/383/2024 del 3 ottobre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 2.2.1. 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juridiquement protégé par la disposition pénale qui a été enfreinte (ATF 143 IV 77 consid. 2.2; 141 IV 454 consid. 2.3.1).</w:t>
      </w:r>
    </w:p>
    <w:p>
      <w:r>
        <w:t>- 7/12 - P/21700/2021 Lorsqu'une infraction est perpétrée au détriment du patrimoine d'une personne morale, seule celle-ci subit un dommage et peut donc prétendre à la qualité de lésée (ATF 141 IV 380 consid. 2.3.3). 2.2.2. En l'espèce, en tant que le recourant reproche au mis en cause de s'être octroyé des rémunérations exagérées et d'avoir utilisé des fonds de C______ SA pour des dépenses privées, son recours est irrecevable, seule la société ayant la qualité de lésée. Le recours est pour le surplus recevable, le recourant ayant un intérêt juridiquement protégé à la modification ou à l'annulation de la décision querellée.</w:t>
      </w:r>
    </w:p>
    <w:p>
      <w:r>
        <w:rPr>
          <w:b/>
        </w:rPr>
        <w:t>E. 3</w:t>
      </w:r>
    </w:p>
    <w:p>
      <w:r>
        <w:t>Le recourant considère que dans la mesure où B______ a été entendu par la police en tant que prévenu, le Ministère public n'était plus en mesure de rendre une décision de non-entrée en matière.</w:t>
      </w:r>
    </w:p>
    <w:p>
      <w:r>
        <w:rPr>
          <w:b/>
        </w:rPr>
        <w:t>E. 3.1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(arrêt du Tribunal fédéral 1B_368/2012 du 13 mai 2013 consid. 3.2; L. MOREILLON / A. PAREIN- REYMOND, Petit commentaire CPP, Bâle 2016, n. 4 ad art. 310).</w:t>
      </w:r>
    </w:p>
    <w:p>
      <w:r>
        <w:t>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Les informations recueillies à cette occasion lui permettront de décider de la suite qu'il convient de donner à la procédure (arrêt du Tribunal fédéral 6B_290/2020 du 17 juillet 2020 consid. 2.2).</w:t>
      </w:r>
    </w:p>
    <w:p>
      <w:r>
        <w:rPr>
          <w:b/>
        </w:rPr>
        <w:t>E. 3.2</w:t>
      </w:r>
    </w:p>
    <w:p>
      <w:r>
        <w:t>En l'espèce, l'audition du mis en cause a été effectuée dans le cadre des investigations policières, sans qu'une instruction n'ait été ouverte. Dans ces circonstances, la procédure n'a pas dépassé le stade des premières investigations, ce qui permettait au Ministère public de rendre une ordonnance de non-entrée en matière.</w:t>
      </w:r>
    </w:p>
    <w:p>
      <w:r>
        <w:t>Pour le surplus, le recourant a pu faire valoir devant la Chambre de céans les arguments qu'il estimait pertinents, en particulier ses déterminations sur l'audition du mis en cause et les actes d'instruction sollicités.</w:t>
      </w:r>
    </w:p>
    <w:p>
      <w:r>
        <w:t>Son grief sera dès lors rejeté.</w:t>
      </w:r>
    </w:p>
    <w:p>
      <w:r>
        <w:t>- 8/12 - P/21700/2021</w:t>
      </w:r>
    </w:p>
    <w:p>
      <w:r>
        <w:rPr>
          <w:b/>
        </w:rPr>
        <w:t>E. 4</w:t>
      </w:r>
    </w:p>
    <w:p>
      <w:r>
        <w:t>Le recourant reproche au Ministère public de ne pas être entré en matière sur sa plainte.</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de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et 137 IV 219 consid. 7).</w:t>
      </w:r>
    </w:p>
    <w:p>
      <w:r>
        <w:rPr>
          <w:b/>
        </w:rPr>
        <w:t>E. 4.2</w:t>
      </w:r>
    </w:p>
    <w:p>
      <w:r>
        <w:t>À teneur de l'art. 139 al. 2 CPP, il n'y a pas lieu d'administrer des preuves sur des faits non pertinents, notoires, connus de l'autorité pénale ou déjà suffisamment prouvés. Cette disposition codifie, pour la procédure pénale, la règle jurisprudentielle déduite de l'art. 29 al. 2 Cst. en matière d'appréciation anticipée des preuves (arrêt du Tribunal fédéral 6B_977/2014 du 17 août 2015 consid. 1.2). Le magistrat peut renoncer à l'administration de certaines preuves, notamment lorsque les faits dont les parties veulent rapporter l'authenticité ne sont pas importants pour la solution du litige. Ce refus d'instruire ne viole le droit d'être entendu des parties que si l'appréciation anticipée de la pertinence du moyen de preuve offert, à laquelle le juge a procédé, est entachée d'arbitraire (ATF 136 I 229 consid. 5.3).</w:t>
      </w:r>
    </w:p>
    <w:p>
      <w:r>
        <w:rPr>
          <w:b/>
        </w:rPr>
        <w:t>E. 4.3</w:t>
      </w:r>
    </w:p>
    <w:p>
      <w:r>
        <w:t>Selon l'art. 146 al. 1 CP, se rend coupable d'escroquerie quiconque, dans le dessein de se procurer ou de procurer à un tiers un enrichissement illégitime, aura</w:t>
      </w:r>
    </w:p>
    <w:p>
      <w:r>
        <w:t>- 9/12 - P/21700/2021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(cf. not. arrêt du Tribunal fédéral 6B_1050/2019 du 20 novembre 2019 consid. 4.1). Quant au troisième comportement prévu par la loi, il se distingue des deux précédents en ce sens que l'erreur est préexistante (arrêt du Tribunal fédéral 6B_718/2018 du 15 mars 2019 consid. 4.3.1).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L'astuce n'est toutefois pas réalisée si la dupe pouvait se protéger avec un minimum d'attention ou éviter l'erreur avec le minimum de prudence que l'on pouvait attendre d'elle (ATF 135 IV 76 consid. 5.2).</w:t>
      </w:r>
    </w:p>
    <w:p>
      <w:r>
        <w:rPr>
          <w:b/>
        </w:rPr>
        <w:t>E. 4.4</w:t>
      </w:r>
    </w:p>
    <w:p>
      <w:r>
        <w:t>En l'espèce, le recourant reproche au mis en cause de lui avoir dissimulé la situation financière de C______ SA – ce qui est contesté par ce dernier – pour l'amener à signer les actes de cautionnement du 1er juillet 2016 et à investir dans E______ SA. Or, d'après le ch. 1 du second acte authentique du 1er juillet 2016 (cf. supra B.d.) – dont il n'y a pas lieu de douter de l'authenticité –, le recourant avait connaissance de la situation financière de la société précitée. Il ressort par ailleurs des procès-verbaux des séances des organes des E______ SA, signés par tous les protagonistes, que l'état des comptes de C______ leur avait été présenté et que le recourant – s'opposant à l'arrêt de l'exploitation – avait proposé des solutions pour assainir la société. Bien que le précité affirme – pour la première fois dans son recours – que lesdits procès- verbaux auraient été préétablis et que le mis en cause l'aurait obligé à les signer "à la</w:t>
      </w:r>
    </w:p>
    <w:p>
      <w:r>
        <w:t>- 10/12 - P/21700/2021 sauvette", il ne soutient pas – ni a fortiori ne démontre – qu'il s'agirait de documents au contenu inexact. Force est dès lors de constater que le recourant ne peut pas soutenir n'avoir pas eu connaissance, et ce, dès la signature des actes de cautionnement du 1er juillet 2016, de l'activité et de la situation financière de C______ SA. Quoi qu'il en soit, l'on ne saurait retenir que le recourant aurait été dissuadé par le mis en cause de vérifier certaines informations. Il ressort en effet du procès-verbal de son interrogatoire devant l'Office des faillites que la comptabilité de C______ SA – représentant cinq classeurs par an – se trouvait dans les locaux de la société. Même à admettre – comme le soutient le recourant dans son acte de recours – que les documents évoqués dans ledit procès-verbal n'étaient pas exhaustifs, le précité ne soutient pas qu'il lui aurait été impossible de se faire une idée précise sur la situation financière de C______ SA. Au regard des arguments développés ci-dessus, les actes d'instruction sollicités ne seraient pas probants, de sorte que l'appréciation anticipée des preuves opérée par le Ministère public n'était nullement arbitraire. Dans ces conditions, c'est à juste titre que cette autorité a considéré qu'il n'existait pas de soupçons suffisants de la commission d'une escroquerie pour justifier l'ouverture d'une instruction.</w:t>
      </w:r>
    </w:p>
    <w:p>
      <w:r>
        <w:rPr>
          <w:b/>
        </w:rPr>
        <w:t>E. 5</w:t>
      </w:r>
    </w:p>
    <w:p>
      <w:r>
        <w:t>Justifiée, l'ordonnance querellée sera donc confirmée.</w:t>
      </w:r>
    </w:p>
    <w:p>
      <w:r>
        <w:rPr>
          <w:b/>
        </w:rPr>
        <w:t>E. 6</w:t>
      </w:r>
    </w:p>
    <w:p>
      <w:r>
        <w:t>Le recourant, qui succombe, supportera les frais envers l'État, fixés en intégralité à CHF 1'500.- (art. 428 al. 1 CPP et 13 al. 1 du Règlement fixant le tarif des frais en matière pénale, RTFMP ; E 4 10.03). * * * * *</w:t>
      </w:r>
    </w:p>
    <w:p>
      <w:r>
        <w:t>- 11/12 - P/21700/2021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