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ACPR/382/2025 vom 25. März 2025</w:t>
      </w:r>
    </w:p>
    <w:p>
      <w:r>
        <w:t>GE Cour de justice, 2025-03-25, FR</w:t>
      </w:r>
    </w:p>
    <w:p>
      <w:r>
        <w:rPr>
          <w:b/>
        </w:rPr>
        <w:t xml:space="preserve">Quelle: </w:t>
      </w:r>
      <w:r>
        <w:t>https://mcp.opencaselaw.ch/entscheid/ge_gerichte_ACPR_382_2025</w:t>
      </w:r>
    </w:p>
    <w:p>
      <w:r>
        <w:t>FR: GE_GERICHTE ACPR/382/2025 du 25 mars 2025</w:t>
      </w:r>
    </w:p>
    <w:p>
      <w:r>
        <w:t>IT: GE_GERICHTE ACPR/382/2025 del 25 marzo 2025</w:t>
      </w:r>
    </w:p>
    <w:p>
      <w:pPr>
        <w:pStyle w:val="Heading2"/>
      </w:pPr>
      <w:r>
        <w:t>Erwägungen</w:t>
      </w:r>
    </w:p>
    <w:p>
      <w:r>
        <w:rPr>
          <w:b/>
        </w:rPr>
        <w:t>E. 1.1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 Toutefois, l'objet du litige est circonscrit par la décision querellée, laquelle ne porte pas sur la réintégration de l'intéressé en milieu fermé ordonnée les 29 janvier et 7 février 2024 par le SAPEM, décisions entrées en force. En tant qu'il semble s'en plaindre, cet élément est donc exorbitant à la saisine de la Chambre de céans (art.393 al. 1 let. a CPP). Il n'appartient pas non plus à la Chambre de céans de se prononcer sur l'exécution éventuelle de la peine privative prononcée par ordonnance pénale du 23 mai 2022. Sa conclusion, visant à ce qu'il soit constaté que cette sanction était purgée, est également irrecevable.</w:t>
      </w:r>
    </w:p>
    <w:p>
      <w:r>
        <w:t>- 10/16 - PM/212/2025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TAPEM de ne pas avoir motivé sa décision, sous l'angle de l'art. 5 par. 1 CEDH et de la jurisprudence y relative.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142 II 154 consid. 4.2; ATF 138 I 232 consid. 5.1.).</w:t>
      </w:r>
    </w:p>
    <w:p>
      <w:r>
        <w:rPr>
          <w:b/>
        </w:rPr>
        <w:t>E. 3.2</w:t>
      </w:r>
    </w:p>
    <w:p>
      <w:r>
        <w:t>En l'occurrence, le TAPEM expose les motifs qui l'ont conduit à refuser la libération conditionnelle de la mesure, en se fondant sur son précédent jugement et rappelant le parcours du recourant lors de ses deux placements en milieu ouvert. Il souligne, en outre, que la jurisprudence citée par le recourant ne concerne pas un cas similaire. Le recourant ne s'y est au demeurant pas trompé puisqu'il critique précisément cette motivation dans son recours. Il s'ensuit que ce grief peut être rejeté.</w:t>
      </w:r>
    </w:p>
    <w:p>
      <w:r>
        <w:rPr>
          <w:b/>
        </w:rPr>
        <w:t>E. 4</w:t>
      </w:r>
    </w:p>
    <w:p>
      <w:r>
        <w:t>Le recourant reproche à l'autorité précédente d'avoir refusé d'ordonner la libération conditionnelle de son traitement institutionnel au sens de l'art. 59 CP.</w:t>
      </w:r>
    </w:p>
    <w:p>
      <w:r>
        <w:rPr>
          <w:b/>
        </w:rPr>
        <w:t>E. 4.1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w:t>
      </w:r>
    </w:p>
    <w:p>
      <w:r>
        <w:t>- 11/16 - PM/212/2025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 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L'art. 59 al. 4 CP prévoit que la mesure ne peut, en règle générale, excéder cinq ans. Cependant, si les conditions d'une libération conditionnelles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 135 IV 139 consid. 2.1. p. 141). Dans ce cadre, elle ne connait pas de limite maximale. Cette prolongation est indiquée lors de traitement selon l'art. 59 al. 3 CP. Cette possibilité existe parce que les mesures thérapeutiques appliquées à des malades mentaux chroniques n'agissent souvent que très lentement (ATF 134 IV 315 consid. 3.4.1. p. 321).</w:t>
      </w:r>
    </w:p>
    <w:p>
      <w:r>
        <w:rPr>
          <w:b/>
        </w:rPr>
        <w:t>E. 4.2</w:t>
      </w:r>
    </w:p>
    <w:p>
      <w:r>
        <w:t>La libération conditionnelle d'une mesure est réglée par l'art. 62 CP. Elle est accordée dès que l'état de l'auteur justifie qu'on lui donne l'occasion de faire ses preuves en liberté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p. 202 ss; arrêts du Tribunal fédéral 6B_91/2015 du 3 mars 2015 consid. 1.1; 6B_471/2012 du 21 janvier 2013 consid. 3.1.1).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202; arrêt du Tribunal fédéral 6B_347/2018 du 28 juin 2018 consid. 4.1.3). Présente un caractère de dangerosité le délinquant dont l'état mental est si gravement atteint qu'il est fortement à craindre qu'il commette de</w:t>
      </w:r>
    </w:p>
    <w:p>
      <w:r>
        <w:t>- 12/16 - PM/212/2025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p. 203; arrêt du Tribunal fédéral 6B_347/2018 du 28 juin 2018 consid. 4.1.3). La libération conditionnelle d'une mesure thérapeutique en milieu fermé au sens de l'art. 59 al. 3 CP n'est pas soumise à des conditions plus strictes que celle d'une autre mesure (arrêts du Tribunal fédéral 6B_91/2015 du 3 mars 2015 consid. 1.1; 6B_471/2012 du 21 janvier 2013 consid. 3.1.1).</w:t>
      </w:r>
    </w:p>
    <w:p>
      <w:r>
        <w:rPr>
          <w:b/>
        </w:rPr>
        <w:t>E. 4.3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4.4</w:t>
      </w:r>
    </w:p>
    <w:p>
      <w:r>
        <w:t>En l'espèce, le recourant souffre de schizophrénie indifférenciée, de troubles mentaux et du comportement liés à l'utilisation de cannabis. Les expertises psychiatriques et évaluations criminologiques effectuées soulignent un risque de réitération d'actes violents de modéré [dans la tranche supérieure du niveau modéré] à élevé, qui serait augmenté en l'absence du cadre institutionnel. Les allègements dont a bénéficié le recourant ont dû être révoqués en raison de consommations régulières de toxiques, de transgressions répétées du cadre et de menaces vis-à-vis d'autres résidents de la Clinique C______. Il a également récidivé, à Curabilis, dans des actes de violence au préjudice d'agents de détention. Par ailleurs, depuis sa seconde réintégration, le 29 janvier 2024, il a présenté des difficultés de compliance à son traitement, notamment médicamenteux, persisté à consommer des stupéfiants et adopté un mauvais comportement vis-à-vis des autres détenus, étant souligné que ce n'est que récemment que son adhésion aux soins semble évoluer favorablement. Ces éléments montrent que la prise en charge institutionnelle reste nécessaire pour prévenir le risque de récidive et proportionnée à la situation du recourant – compte tenu des biens juridiques menacés, à savoir l'intégrité corporelle d'autrui–. Elle permet, en outre, de stabiliser sa situation dans l'environnement cadré dont il a besoin, étant souligné que le temps écoulé depuis le prononcé de la mesure ne suffit pas, à lui seul, pour retenir qu'elle serait disproportionnée. Dans ce contexte, la libération conditionnelle de la mesure – quand bien même elle serait assortie, à titre de règle de conduite, d'un traitement ambulatoire – parait</w:t>
      </w:r>
    </w:p>
    <w:p>
      <w:r>
        <w:t>- 13/16 - PM/212/2025 prématurée. L'établissement d'une nouvelle évaluation criminologique – à laquelle le recourant a finalement accepté de collaborer – permettra de préciser son évolution et d'envisager un éventuel retour en milieu ouvert, en fonction de son comportement.</w:t>
      </w:r>
    </w:p>
    <w:p>
      <w:r>
        <w:rPr>
          <w:b/>
        </w:rPr>
        <w:t>E. 5</w:t>
      </w:r>
    </w:p>
    <w:p>
      <w:r>
        <w:t>Justifié, le jugement entrepris sera donc confirmé.</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recourant demande l'octroi de l'assistance juridique.</w:t>
      </w:r>
    </w:p>
    <w:p>
      <w:r>
        <w:rPr>
          <w:b/>
        </w:rPr>
        <w:t>E. 7.1</w:t>
      </w:r>
    </w:p>
    <w:p>
      <w:r>
        <w:t>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et les arrêts cités).</w:t>
      </w:r>
    </w:p>
    <w:p>
      <w:r>
        <w:rPr>
          <w:b/>
        </w:rPr>
        <w:t>E. 7.2</w:t>
      </w:r>
    </w:p>
    <w:p>
      <w:r>
        <w:t>En l'espèce, la condition de l'indigence est acquise. Nonobstant l'issue de la cause, la présente affaire présente des difficultés juridiques propres à justifier l'intervention d'un avocat, compte tenu de l'enjeu et des circonstances particulières pour le recourant. La requête tendant à la désignation d'un avocat d'office sera, partant, admise.</w:t>
      </w:r>
    </w:p>
    <w:p>
      <w:r>
        <w:rPr>
          <w:b/>
        </w:rPr>
        <w:t>E. 7.3</w:t>
      </w:r>
    </w:p>
    <w:p>
      <w:r>
        <w:t>La procédure étant ici close (art. 135 al. 2 CPP), des dépens seront alloués à l'avocat d'office.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w:t>
      </w:r>
    </w:p>
    <w:p>
      <w:r>
        <w:t>- 14/16 - PM/212/2025 autorités cantonales jouissent d'une importante marge d'appréciation lorsqu'elles fixent, dans la procédure, la rémunération du défenseur d'office (ATF 141 I 124 consid. 3.2 ; arrêt du Tribunal fédéral 6B_856/2014 du 10 juillet 2015 consid. 2.3). En l'espèce, le conseil du recourant a requis une indemnité de CHF 5'350.- correspondant à 11 heures d'activité au tarif horaire de CHF 450.-. Eu égard à l'activité déployée (un recours de 14 pages, page de garde et de conclusions incluses et un chargé de pièces), l'indemnité due sera fixée à CHF 864.80, correspondant à 4h00 d'activité au tarif horaire de CHF 200.-, plus la TVA (8,1%). * * * * *</w:t>
      </w:r>
    </w:p>
    <w:p>
      <w:r>
        <w:t>- 15/16 - PM/212/2025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