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ACPR/377/2026 vom 16. April 2026</w:t>
      </w:r>
    </w:p>
    <w:p>
      <w:r>
        <w:t>GE Cour de justice, 2026-04-16, FR</w:t>
      </w:r>
    </w:p>
    <w:p>
      <w:r>
        <w:rPr>
          <w:b/>
        </w:rPr>
        <w:t xml:space="preserve">Quelle: </w:t>
      </w:r>
      <w:r>
        <w:t>https://mcp.opencaselaw.ch/entscheid/ge_gerichte_ACPR_377_2026</w:t>
      </w:r>
    </w:p>
    <w:p>
      <w:r>
        <w:t>FR: GE_GERICHTE ACPR/377/2026 du 16 avril 2026</w:t>
      </w:r>
    </w:p>
    <w:p>
      <w:r>
        <w:t>IT: GE_GERICHTE ACPR/377/2026 del 16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w:t>
      </w:r>
    </w:p>
    <w:p>
      <w:r>
        <w:t>- 4/9 - P/23405/2025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7B_529/2025 du 26 janvier 2026, consid. 3.1.3;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w:t>
      </w:r>
    </w:p>
    <w:p>
      <w:r>
        <w:t>- 5/9 - P/23405/2025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constitutifs de délit à la LStup, dès lors qu’il avait déjà été soupçonné pour des faits similaires (art. 255 al. 1bis CPP). À cet égard, il existe des indices sérieux et concrets de la commission, par le recourant, de tels actes punissables, ce qu'il ne remet pas en cause dans son recours. Il ressort en effet de l'extrait de son casier judiciaire qu'il a déjà été condamné à trois reprises pour des délits contre la loi sur les stupéfiants [les 19 mai 2019, 9 novembre 2022 et 27 juin 2023], soit pour des agissements qui dépassent le stade de la simple consommation personnelle, laquelle a fait l'objet de plusieurs contraventions en sus. En outre, au moment de l’établissement de son profil d’ADN, une autre cause était pendante à la Chambre pénale d’appel et de révision pour des faits spécifiques. À cela s'ajoute que dans le cadre de la présente procédure, il a été interpellé en possession de divers stupéfiants, conditionnés pour la vente, dans un lieu connu pour le trafic de ces substances, avec de l’argent (deux billets de CHF 20.-) et deux téléphones portables. Ses déclarations selon lesquelles il aurait acheté cette drogue dans la rue à des inconnus pour CHF 150.-, non pas pour la vendre mais pour des amis, sont inconsistantes et non étayées, tout comme ses revenus allégués. De telles circonstances permettent de penser que l'intéressé pourrait être impliqué dans d'autres infractions à la LStup encore inconnues des autorités, lesquelles pourraient lui être attribuées si l'on était en mesure de comparer son profil d'ADN avec des traces prélevées sur les lieux de leur commission. Cette situation n'est pas comparable à celle que le Tribunal fédéral a été amené à trancher récemment (arrêt 7B_529/2026 du 26 janvier 2026) pour plusieurs raisons. Dans l'affaire en question, l'intéressé ne s’était jamais vu reprocher des infractions autres qu’à la LEI, contrairement au recourant. De plus, ici, la présence du recourant dans un quartier notoirement connu pour le trafic de stupéfiants est de nature à interpeller, ce d'autant qu’il a été contrôlé en possession de différents stupéfiants, ce</w:t>
      </w:r>
    </w:p>
    <w:p>
      <w:r>
        <w:t>- 6/9 - P/23405/2025 qui renforce le soupçon qu’il pourrait s’adonner régulièrement à du trafic de stupéfiants.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reproche au Ministère public d'avoir ordonné un nouvel établissement de son profil d'ADN alors qu'un tel profil, immuable, avait déjà été établi plusieurs fois par le passé, ce qui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10 ou 20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w:t>
      </w:r>
    </w:p>
    <w:p>
      <w:r>
        <w:t>- 7/9 - P/23405/2025 du recourant dans la mesure où il était à nouveau soupçonné d’avoir commis une nouvelle infraction pour laquelle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l’ordonnance en cause, du 16 octobre 2025,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E 4 10.03).</w:t>
      </w:r>
    </w:p>
    <w:p>
      <w:r>
        <w:rPr>
          <w:b/>
        </w:rPr>
        <w:t>E. 6</w:t>
      </w:r>
    </w:p>
    <w:p>
      <w:r>
        <w:t>Le recourant plaide au bénéfice d’une défense d’office. Dans la mesure où la procédure se poursuit, l’indemnité de son défenseur d’office sera fixée à la fin de la procédure (art. 135 al. 2 CPP). * * * * *</w:t>
      </w:r>
    </w:p>
    <w:p>
      <w:r>
        <w:t>- 8/9 - P/23405/2025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