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ACPR/377/2020 vom 6. Mai 2020</w:t>
      </w:r>
    </w:p>
    <w:p>
      <w:r>
        <w:t>GE Cour de justice, 2020-05-06, FR</w:t>
      </w:r>
    </w:p>
    <w:p>
      <w:r>
        <w:rPr>
          <w:b/>
        </w:rPr>
        <w:t xml:space="preserve">Quelle: </w:t>
      </w:r>
      <w:r>
        <w:t>https://mcp.opencaselaw.ch/entscheid/ge_gerichte_ACPR_377_2020</w:t>
      </w:r>
    </w:p>
    <w:p>
      <w:r>
        <w:t>FR: GE_GERICHTE ACPR/377/2020 du 6 mai 2020</w:t>
      </w:r>
    </w:p>
    <w:p>
      <w:r>
        <w:t>IT: GE_GERICHTE ACPR/377/2020 del 6 maggio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w:t>
      </w:r>
    </w:p>
    <w:p>
      <w:r>
        <w:t>- 4/7 - PM/449/2020 Tribunal fédéral 6B_1136/2015 du 18 juillet 2016 consid. 4.3 et 6B_158/2013 du 25 avril 2013 consid. 2.1; A. KUHN / Y. JEANNERET / C. DEPEURSINGE (éds), Commentaire romand : Code de procédure pénale suisse, Bâle 2011,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prétend s'être mépris sur la portée de la lettre que le TAPEM lui a envoyée le 21 avril 2020. Il ne peut être suivi. L'en-tête utilisée par le premier juge est limpide ("examen de votre libération conditionnelle"), et la date du 30 avril 2020 n'est pas mise en relation avec une éventuelle sortie de prison. Par ailleurs, à se fier à la rédaction de l'acte de recours, il n'apparaît pas que le recourant n'était pas en mesure de comprendre le français écrit ou de se faire expliquer la portée de la décision du TAPEM par un interlocuteur maîtrisant cette langue. À tout le moins a-t-il compris, par exemple, que le jugement attaqué était sujet à recours auprès de la Chambre de céans. On ne voit donc pas pourquoi il n'en est pas allé de même avec la lettre précitée. Ce nonobstant, le pouvoir d'examen de la Chambre de céans est complet, en fait et en droit, et le recourant a pu s'exprimer sans limite dans l'acte de recours. Il ne subit donc pas de préjudice par suite du délai expiré.</w:t>
      </w:r>
    </w:p>
    <w:p>
      <w:r>
        <w:rPr>
          <w:b/>
        </w:rPr>
        <w:t>E. 4</w:t>
      </w:r>
    </w:p>
    <w:p>
      <w:r>
        <w:t>Le recourant conteste le refus de sa demande de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w:t>
      </w:r>
    </w:p>
    <w:p>
      <w:r>
        <w:t>- 5/7 - PM/449/2020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4.2</w:t>
      </w:r>
    </w:p>
    <w:p>
      <w:r>
        <w:t>En l'espèce, l'appréciation émise par le premier juge ne souffre pas de critique. Les critères qu'il a retenus et appliqués sont pertinents. Il peut y être renvoyé sans autre, car le recourant se contente d'invoquer une situation personnelle "compliquée", dont il ne dit cependant rien. En particulier, il laisse intacte la contradiction apparente entre sa demande d'un billet d'avion pour le Mexique et sa volonté de continuer à résider en Suisse, où il n'a aucun droit de résider (et, par conséquent, aucune expectative de travailler), ce qui lui a du reste valu 6 condamnations depuis le 11 février 2019. En outre, son ex-femme n'a pas attesté de l'aide qu'il prétendait, sans autre détail, qu'elle lui fournirait. Dans ces circonstances, le risque de récidive se présente sous un jour défavorable. C'est en vain que le recourant expose n'avoir jamais antérieurement bénéficié d'une libération conditionnelle en Suisse. La condition objective d'un tel allègement, au</w:t>
      </w:r>
    </w:p>
    <w:p>
      <w:r>
        <w:t>- 6/7 - PM/449/2020 demeurant rappelée dans le jugement attaqué (à savoir, le seuil de 3 mois de d'exécution imposé par l'art. 86 al. 1 CP), n'était réunie pour aucune des peines auxquelles il a été condamné par le passé dans notre pays.</w:t>
      </w:r>
    </w:p>
    <w:p>
      <w:r>
        <w:rPr>
          <w:b/>
        </w:rPr>
        <w:t>E. 5</w:t>
      </w:r>
    </w:p>
    <w:p>
      <w:r>
        <w:t>Son recours étant dénué de chance de succès, le recourant ne saurait bénéficier de la nomination d'un défenseur d'office.</w:t>
      </w:r>
    </w:p>
    <w:p>
      <w:r>
        <w:rPr>
          <w:b/>
        </w:rPr>
        <w:t>E. 6</w:t>
      </w:r>
    </w:p>
    <w:p>
      <w:r>
        <w:t>Le recourant, parce qu'il n'a pas gain de cause, supportera les frais envers l'État, qui seront fixés en totalité à CHF 500.- (art. 428 al. 1 CPP et 13 al. 1 du Règlement fixant le tarif des frais en matière pénale, RTFMP; E 4 10.03). Ces frais ne sont toutefois pas prélevés pour le rejet de l'assistance judiciaire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