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ACPR/376/2021 vom 11. Mai 2021</w:t>
      </w:r>
    </w:p>
    <w:p>
      <w:r>
        <w:t>GE Cour de justice, 2021-05-11, FR</w:t>
      </w:r>
    </w:p>
    <w:p>
      <w:r>
        <w:rPr>
          <w:b/>
        </w:rPr>
        <w:t xml:space="preserve">Quelle: </w:t>
      </w:r>
      <w:r>
        <w:t>https://mcp.opencaselaw.ch/entscheid/ge_gerichte_ACPR_376_2021</w:t>
      </w:r>
    </w:p>
    <w:p>
      <w:r>
        <w:t>FR: GE_GERICHTE ACPR/376/2021 du 11 mai 2021</w:t>
      </w:r>
    </w:p>
    <w:p>
      <w:r>
        <w:t>IT: GE_GERICHTE ACPR/376/2021 del 11 maggio 2021</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c et 393 al. 1 let. c) et émaner du prévenu, partie au procès (art. 104 al. 1 let. a CPP), qui a qualité pour recourir.</w:t>
      </w:r>
    </w:p>
    <w:p>
      <w:r>
        <w:rPr>
          <w:b/>
        </w:rPr>
        <w:t>E. 2</w:t>
      </w:r>
    </w:p>
    <w:p>
      <w:r>
        <w:t>Le recourant ne s'exprime pas sur les charges, qui sont quoi qu'il en soit suffisantes et graves, au sens de l'art. 221 al. 1 première phrase CPP, au vu des éléments au dossier.</w:t>
      </w:r>
    </w:p>
    <w:p>
      <w:r>
        <w:rPr>
          <w:b/>
        </w:rPr>
        <w:t>E. 3</w:t>
      </w:r>
    </w:p>
    <w:p>
      <w:r>
        <w:t>L'ordonnance querellée a retenu à juste titre l'existence d'un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132 I 21 consid. 3.2; 128 I 149 consid. 2.1; 123 I 31 consid. 3c et les références).</w:t>
      </w:r>
    </w:p>
    <w:p>
      <w:r>
        <w:rPr>
          <w:b/>
        </w:rPr>
        <w:t>E. 3.2</w:t>
      </w:r>
    </w:p>
    <w:p>
      <w:r>
        <w:t>En l'espèce, l'instruction touche à sa fin. Si le recourant reconnait certains faits, il en conteste d'autres s'agissant de F______ et tous ceux allégués par G______. Son intérêt à entrer en contact avec cette dernière et à lui faire modifier sa version n'est ainsi pas à exclure, voire d'influencer la sœur ainée dont il a redemandé l'audition.</w:t>
      </w:r>
    </w:p>
    <w:p>
      <w:r>
        <w:rPr>
          <w:b/>
        </w:rPr>
        <w:t>E. 4</w:t>
      </w:r>
    </w:p>
    <w:p>
      <w:r>
        <w:t>C'est également à juste titre que l'ordonnance querellée a retenu un risque de fuite.</w:t>
      </w:r>
    </w:p>
    <w:p>
      <w:r>
        <w:rPr>
          <w:b/>
        </w:rPr>
        <w:t>E. 4.1</w:t>
      </w:r>
    </w:p>
    <w:p>
      <w:r>
        <w:t>Conformément à la jurisprudence, ce risque doit s'analyser en fonction d'un ensemble de critères tels que le caractère de l'intéressé, sa moralité, ses ressources,</w:t>
      </w:r>
    </w:p>
    <w:p>
      <w:r>
        <w:t>- 7/11 - P/10357/2020 ses liens avec l'État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mais permet souvent de présumer un danger de fuite en raison de l'importance de la peine dont le prévenu est menacé (ATF 125 I 60 consid. 3a; 117 Ia 69 consid. 4a, 108 Ia 64 consid. 3). La proximité de l'audience de jugement rend généralement le risque de fuite plus aigu (arrêt du Tribunal fédéral 1B_447/2011 du 21 septembre 2011).</w:t>
      </w:r>
    </w:p>
    <w:p>
      <w:r>
        <w:rPr>
          <w:b/>
        </w:rPr>
        <w:t>E. 4.2</w:t>
      </w:r>
    </w:p>
    <w:p>
      <w:r>
        <w:t>Le recourant, de nationalité portugaise, habite depuis 2008 à Genève. Il a deux enfants d'une précédente union qui vivent au Portugal. Le risque de fuite est ainsi élevé au vu de sa situation judiciaire, peu avant son renvoi en jugement, financière – même s'il disposerait d'un travail – et familiale.</w:t>
      </w:r>
    </w:p>
    <w:p>
      <w:r>
        <w:rPr>
          <w:b/>
        </w:rPr>
        <w:t>E. 5</w:t>
      </w:r>
    </w:p>
    <w:p>
      <w:r>
        <w:t>Le recourant considère qu'en écartant les mesures de substitution proposées, la décision du TMC violait le principe de proportionnalité et était dès lors inopportune.</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 7 décembre 2011 consid. 4.2). Lorsque la mesure ne consiste pas uniquement en l'accomplissement d'un acte ponctuel, sa durée doit être limitée dans le temps (ATF 141 IV 190 consid. 3.3).</w:t>
      </w:r>
    </w:p>
    <w:p>
      <w:r>
        <w:rPr>
          <w:b/>
        </w:rPr>
        <w:t>E. 5.2</w:t>
      </w:r>
    </w:p>
    <w:p>
      <w:r>
        <w:t>En l'espèce, l'engagement pris par le prévenu, et l'interdiction qui lui serait faite, de contacter les plaignantes et sa femme sont largement insuffisants à pallier le risque concret et important de collusion, dans la mesure où l'interdiction de contact ne repose que sur la volonté du prévenu et qu'il pourrait tenter de les rencontrer, ou de les contacter via les réseaux sociaux ou par des tiers. La peine qu'il pourrait encourir, si le juge le reconnaissait coupable des faits qui lui sont reprochés, est suffisamment importante pour qu'il veuille limiter ces faits. Le port d'un bracelet électronique, l'interdiction de quitter le territoire et l'obligation de se présenter à une autorité administrative ainsi que le dépôt de son passeport –</w:t>
      </w:r>
    </w:p>
    <w:p>
      <w:r>
        <w:t>- 8/11 - P/10357/2020 chaque mesure pour elle-même et dans leur ensemble – ne paraissent pas suffisants à pallier le risque de fuite. L'interdiction de quitter le territoire ne reposant, ici encore, que sur la volonté du prévenu, ce dernier ne serait nullement empêché de passer la frontière et de se rendre, notamment, au Portugal, y compris sans son passeport. L'obligation de s'annoncer à un poste de police ne permettrait, le cas échéant, que de constater sa fuite, mais pas de l'empêcher.</w:t>
      </w:r>
    </w:p>
    <w:p>
      <w:r>
        <w:rPr>
          <w:b/>
        </w:rPr>
        <w:t>E. 6</w:t>
      </w:r>
    </w:p>
    <w:p>
      <w:r>
        <w:t>Au vu des infractions reprochées au prévenu, la détention provisoire depuis juin 2020 ne viole pas le principe de la proportionnalité.</w:t>
      </w:r>
    </w:p>
    <w:p>
      <w:r>
        <w:rPr>
          <w:b/>
        </w:rPr>
        <w:t>E. 6.2</w:t>
      </w:r>
    </w:p>
    <w:p>
      <w:r>
        <w:t>; 1B_705/2011 du 9 mai 2012 consid. 2.3.2). Ceci vaut également lorsque le Ministère public a, dans le cadre de la procédure principale, désigné un défenseur d'office au prévenu qui se trouve dans un cas de défense obligatoire (art. 132 al. 1 let. a en lien avec l'art. 130 CPP ; arrêts du Tribunal fédéral 1B_516/2020 précité consid. 5.1 ; 1B_705/2011 du 9 mai 2012 consid. 2.3.2 ; 1B_732/2011 du 19 janvier 2012 consid. 7.1 et 7.2 ; contra : HARARI/JAKOB/SANTAMARIA, in Commentaire romand, Code de procédure pénale suisse, 2ème éd. 2019, nos 1a et 1b ad art. 134 CPP et les autres références de doctrine). La désignation d'un conseil d'office pour la procédure pénale principale n'est pas un blanc-seing pour introduire des recours aux frais de l'Etat, notamment contre des décisions de détention provisoire (arrêt du Tribunal fédéral 1B_516/2020 précité consid. 5.1).</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w:t>
      </w:r>
    </w:p>
    <w:p>
      <w:r>
        <w:rPr>
          <w:b/>
        </w:rPr>
        <w:t>E. 9</w:t>
      </w:r>
    </w:p>
    <w:p>
      <w:r>
        <w:t>Son avocat a requis l'assistance judiciaire pour la procédure de recours.</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w:t>
      </w:r>
    </w:p>
    <w:p>
      <w:r>
        <w:rPr>
          <w:b/>
        </w:rPr>
        <w:t>E. 9.2</w:t>
      </w:r>
    </w:p>
    <w:p>
      <w:r>
        <w:t>Le recourant a bénéficié d'une défense obligatoire dans le cadre de la procédure principale et son mandataire a été désigné comme défenseur d'office par le Ministère public. Il convient de constater que le premier recours a été déposé lors de sa mise en détention et que le second l'est à l'occasion de la fin prochaine de l'instruction, une</w:t>
      </w:r>
    </w:p>
    <w:p>
      <w:r>
        <w:t>- 9/11 - P/10357/2020 année plus tard, de sorte qu'il n'apparaît pas qu'il était d'emblée dénué de chance de succès. Il sera ainsi mis au bénéfice d'une défense d'office pour la procédure de recours. En vertu de l'art. 135 al. 2 CPP, l'indemnisation du défenseur d'office, lequel ne l'a pas chiffrée, sera fixée à la fin de la procédure. * * * * *</w:t>
      </w:r>
    </w:p>
    <w:p>
      <w:r>
        <w:t>- 10/11 - P/10357/2020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