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ACPR/375/2022 vom 12. Mai 2022</w:t>
      </w:r>
    </w:p>
    <w:p>
      <w:r>
        <w:t>GE Cour de justice, 2022-05-12, FR</w:t>
      </w:r>
    </w:p>
    <w:p>
      <w:r>
        <w:rPr>
          <w:b/>
        </w:rPr>
        <w:t xml:space="preserve">Quelle: </w:t>
      </w:r>
      <w:r>
        <w:t>https://mcp.opencaselaw.ch/entscheid/ge_gerichte_ACPR_375_2022</w:t>
      </w:r>
    </w:p>
    <w:p>
      <w:r>
        <w:t>FR: GE_GERICHTE ACPR/375/2022 du 12 mai 2022</w:t>
      </w:r>
    </w:p>
    <w:p>
      <w:r>
        <w:t>IT: GE_GERICHTE ACPR/375/2022 del 12 maggio 2022</w:t>
      </w:r>
    </w:p>
    <w:p>
      <w:pPr>
        <w:pStyle w:val="Heading2"/>
      </w:pPr>
      <w:r>
        <w:t>Erwägungen</w:t>
      </w:r>
    </w:p>
    <w:p>
      <w:r>
        <w:rPr>
          <w:b/>
        </w:rPr>
        <w:t>E. 1</w:t>
      </w:r>
    </w:p>
    <w:p>
      <w:r>
        <w:t>Le recours est recevable pour avoir été déposé selon la forme et dans le délai prescrits (art. 393 et 396 CPP) – ce qui a déjà été constaté dans l'ordonnance provisionnelle du 31 août 2021 –, concerner une décision sujette à recours auprès de la Chambre de céans (art. 20 al. 1 let. c et 393 al. 1 let. c) et émaner du Ministère public qui, partie au procès (art. 104 al. 1 let. c CPP), a qualité pour recourir (art. 381 al. 1 CPP; ATF 137 IV 22).</w:t>
      </w:r>
    </w:p>
    <w:p>
      <w:r>
        <w:rPr>
          <w:b/>
        </w:rPr>
        <w:t>E. 2</w:t>
      </w:r>
    </w:p>
    <w:p>
      <w:r>
        <w:t>Les charges suffisantes, tout comme les risques de fuite et de collusion – retenus par le TMC – ne sont pas remis en cause par les parties, de sorte qu'il n'y a pas lieu d'y revenir.</w:t>
      </w:r>
    </w:p>
    <w:p>
      <w:r>
        <w:rPr>
          <w:b/>
        </w:rPr>
        <w:t>E. 3</w:t>
      </w:r>
    </w:p>
    <w:p>
      <w:r>
        <w:t>Le Ministère public reproche au premier juge d'avoir considéré que les mesures de substitution ordonnées pouvaient pallier les risques précités, ce que l'intimée conteste.</w:t>
      </w:r>
    </w:p>
    <w:p>
      <w:r>
        <w:rPr>
          <w:b/>
        </w:rPr>
        <w:t>E. 3.1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fourniture de sûretés (let. a), la saisie des documents d'identité et autres documents officiels (al. 2 let. b), l'assignation à résidence (let. c), l'obligation de se présenter régulièrement à un service administratif (let. d), d'avoir un travail régulier (let. e), et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3.2</w:t>
      </w:r>
    </w:p>
    <w:p>
      <w:r>
        <w:t>En l'espèce, le TMC estime que le risque de collusion peut être pallié par l'interdiction de tout contact, de quelque nature que ce soit, avec E______ et D______, ainsi qu'avec toutes les autres personnes auxquelles l'intimée a prêté de l'argent. Il y a lieu de relever, à l'instar du TMC, que le risque de collusion demeure très important vis-à-vis des parties plaignantes et des autres personnes, au nombre de 15 ou 16 selon les dires de la prévenue, lesquelles n'ont pas encore été identifiées à ce jour, auxquelles cette dernière a prêté d'importantes sommes d'argent, l'analyse de ses carnets de comptabilité étant en cours.</w:t>
      </w:r>
    </w:p>
    <w:p>
      <w:r>
        <w:t>- 8/9 - P/8250/2022 À suivre l'intimée, les plaignantes s'étant déjà exprimées, il n'y aurait plus de risque de collusion avec elles. Or, aucune confrontation n'a encore eu lieu, de sorte que le risque que l'intimée use de pressions à leur encontre pour les faire revenir sur leurs plaintes subsiste. Ensuite, l'intimée prétend que la saisie de ses carnets l'empêcherait de "brouiller les pistes". Or, elle n'a pas fourni les noms complets des personnes inscrites dans lesdits carnets, affirmant les ignorer, ce dont il est permis de douter, eu égard aux montants des prêts en jeu, de l'ordre de CHF 200'000.-. Il n'est ainsi pas exclu qu'elle soit tentée de contacter ses débiteurs – qu'elle seule connaît – pour qu'ils déposent en sa faveur le moment venu, lesdites personnes se trouvant vraisemblablement dans une situation financière précaire et pouvant, dès lors, être sensibles à toutes formes de pression.</w:t>
      </w:r>
    </w:p>
    <w:p>
      <w:r>
        <w:t>Vu l'acuité du risque de collusion, le seul engagement de l'intimée de ne pas contacter lesdites personnes et les parties plaignantes n'apparaît donc pas suffisant, ce d'autant que cet engagement serait difficilement contrôlable. Point n'est besoin dès lors d'examiner si les autres mesures ordonnées pourraient pallier le risque de fuite.</w:t>
      </w:r>
    </w:p>
    <w:p>
      <w:r>
        <w:rPr>
          <w:b/>
        </w:rPr>
        <w:t>E. 4</w:t>
      </w:r>
    </w:p>
    <w:p>
      <w:r>
        <w:t>Fondé, le recours sera admis et l'ordonnance querellée annulée.</w:t>
      </w:r>
    </w:p>
    <w:p>
      <w:r>
        <w:rPr>
          <w:b/>
        </w:rPr>
        <w:t>E. 5</w:t>
      </w:r>
    </w:p>
    <w:p>
      <w:r>
        <w:t>L'admission du recours ne donne pas lieu à la perception de frais (art. 428 al. 4 CPP).</w:t>
      </w:r>
    </w:p>
    <w:p>
      <w:r>
        <w:rPr>
          <w:b/>
        </w:rPr>
        <w:t>E. 6</w:t>
      </w:r>
    </w:p>
    <w:p>
      <w:r>
        <w:t>Aucune indemnité n'est due à l'intimée, qui succombe, et qui n'en a du reste pas sollicité. * * * * *</w:t>
      </w:r>
    </w:p>
    <w:p>
      <w:r>
        <w:t>- 9/9 - P/8250/2022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