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ACPR/374/2026 vom 16. April 2026</w:t>
      </w:r>
    </w:p>
    <w:p>
      <w:r>
        <w:t>GE Cour de justice, 2026-04-16, FR</w:t>
      </w:r>
    </w:p>
    <w:p>
      <w:r>
        <w:rPr>
          <w:b/>
        </w:rPr>
        <w:t xml:space="preserve">Quelle: </w:t>
      </w:r>
      <w:r>
        <w:t>https://mcp.opencaselaw.ch/entscheid/ge_gerichte_ACPR_374_2026</w:t>
      </w:r>
    </w:p>
    <w:p>
      <w:r>
        <w:t>FR: GE_GERICHTE ACPR/374/2026 du 16 avril 2026</w:t>
      </w:r>
    </w:p>
    <w:p>
      <w:r>
        <w:t>IT: GE_GERICHTE ACPR/374/2026 del 16 aprile 2026</w:t>
      </w:r>
    </w:p>
    <w:p>
      <w:pPr>
        <w:pStyle w:val="Heading2"/>
      </w:pPr>
      <w:r>
        <w:t>Erwägungen</w:t>
      </w:r>
    </w:p>
    <w:p>
      <w:r>
        <w:rPr>
          <w:b/>
        </w:rPr>
        <w:t>E. 1</w:t>
      </w:r>
    </w:p>
    <w:p>
      <w:r>
        <w:t>Le recours est recevable pour avoir été déposé selon la forme et dans le délai prescrits (art. 385 al. 1 et 396 al. 1 CPP), concerner une ordonnance de classement partiel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t>- 8/15 - P/545/2025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Aux termes de l'art. 9 CPP, une infraction ne peut faire l'objet d'un jugement que si le ministère public a déposé auprès du tribunal compétent un acte d'accusation dirigé contre une personne déterminée sur la base de faits précisément décrits. L'ordonnance pénale tient lieu d'acte d'accusation si le ministère public, malgré une opposition, décide de la maintenir (art. 356 CPP). Elle doit par conséquent respecter les prescriptions de l'art. 325 CPP, qui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3.2.1. Lorsque le ministère public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glissé et mélangé au contenu d'une ordonnance pénale. Si à la suite d'une agression, par exemple, le Ministère public ne poursuit pas l'ensemble des lésions que la victime a fait valoir, celui-ci doit impérativement rendre une ordonnance de classement partiel explicite s'agissant des lésions qui n'ont pas été prises en compte. La voie de l'opposition est ouverte à la partie plaignante contre l'ordonnance pénale lorsqu'elle dispose d'un intérêt juridique à faire prévaloir une qualification juridique plutôt qu'une autre par rapport à un état de fait non contesté. Contre le classement, implicite ou explicite, c'est la voie du recours qui est ouverte (ATF 138 IV 241 consid. 2.4 à 2.6). 3.2.2. Un classement partiel n'entre en ligne de compte que si plusieurs faits ou comportements doivent être jugés et qu'ils peuvent faire l'objet de décisions séparées. Tel n'est pas le cas en présence de plusieurs qualifications juridiques d'un seul et même état ou complexe de faits ("Lebensvorgang", cf. ATF 144 IV 362 consid. 1.3.1). Dans ce dernier arrêt, le Tribunal fédéral a considéré que lorsqu'un classement partiel était ordonné dans une procédure et qu'il était entré en force, il excluait toute condamnation à raison des mêmes faits, même s'il avait été prononcé à tort en raison de l'identité des faits classés avec ceux renvoyés en jugement; l'autorité de jugement ne pouvait plus se saisir des faits classés sans violer le principe ne bis in idem (ATF 144 IV 362 consid. 1.4.3; cf. aussi arrêt du Tribunal fédéral 6B_367/2020 du 17 janvier 2022 consid. 4.5.1). Dans un arrêt de principe plus récent, le Tribunal fédéral a nuancé cette dernière solution, retenant que ce qui est déterminant, c'est que la décision de classement partiel</w:t>
      </w:r>
    </w:p>
    <w:p>
      <w:r>
        <w:t>- 9/15 - P/545/2025 se réfère à l'accusation engagée simultanément ou déjà pendante. Il doit ainsi ressortir de l'ordonnance de classement partiel que la procédure n'est pas classée dans son ensemble, mais seulement s'agissant de certaines circonstances de fait aggravantes qui n'ont pas été retenues dans l'acte d'accusation, comme par exemple d'autres agissements dénoncés par la victime, des conséquences supplémentaires de l'acte (par ex. d'autres lésions) ou des faits internes supplémentaires (par ex. une volonté meurtrière allant au-delà des lésions effectivement causées). De telles ordonnances de classement partiel servent ainsi à définir l'objet de la procédure judiciaire. Le principe ne bis in idem ne s'étend qu'aux faits auxquels elles se rapportent concrètement, mais non à ceux qui sont simultanément renvoyés en jugement (ATF 148 IV 124 consid. 2.6.6).</w:t>
      </w:r>
    </w:p>
    <w:p>
      <w:r>
        <w:rPr>
          <w:b/>
        </w:rPr>
        <w:t>E. 4.1</w:t>
      </w:r>
    </w:p>
    <w:p>
      <w:r>
        <w:t>Aux termes de l'art. 319 al. 1 CPP, le ministère public classe la procédure lorsqu'aucun soupçon justifiant une mise en accusation n'est établi (let. a) ou que les éléments constitutifs d'une infraction ne sont pas réunis (let. b).</w:t>
      </w:r>
    </w:p>
    <w:p>
      <w:r>
        <w:rPr>
          <w:b/>
        </w:rPr>
        <w:t>E. 4.2</w:t>
      </w:r>
    </w:p>
    <w:p>
      <w:r>
        <w:t>Cette disposition s'interprète à la lumière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arrêt du Tribunal fédéral 7B_630/2023 du 20 août 2024 consid. 3.2.1).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 Il en va de même lorsqu'une condamnation apparaît au vu de l'ensemble des circonstances a priori improbable pour d'autres motifs (ATF 143 IV 241 consid. 2.2.2; arrêt du Tribunal fédéral 6B_874/2017 du 18 avril 2018 consid. 5.1).</w:t>
      </w:r>
    </w:p>
    <w:p>
      <w:r>
        <w:rPr>
          <w:b/>
        </w:rPr>
        <w:t>E. 4.3</w:t>
      </w:r>
    </w:p>
    <w:p>
      <w:r>
        <w:t>L'art. 111 CP réprime le comportement de quiconque tue intentionnellement une personne.</w:t>
      </w:r>
    </w:p>
    <w:p>
      <w:r>
        <w:rPr>
          <w:b/>
        </w:rPr>
        <w:t>E. 4.4</w:t>
      </w:r>
    </w:p>
    <w:p>
      <w:r>
        <w:t>L'art. 122 CP réprime le comportement de quiconque, intentionnellement, blesse une personne de façon à mettre sa vie en danger (let. a) ou fait subir à une personne</w:t>
      </w:r>
    </w:p>
    <w:p>
      <w:r>
        <w:t>- 10/15 - P/545/2025 toute autre atteinte grave à l'intégrité corporelle ou à la santé physique ou mentale (let. c).</w:t>
      </w:r>
    </w:p>
    <w:p>
      <w:r>
        <w:rPr>
          <w:b/>
        </w:rPr>
        <w:t>E. 4.5</w:t>
      </w:r>
    </w:p>
    <w:p>
      <w:r>
        <w:t>Il y a dol éventuel, qui est une forme de l’intention, lorsque l'auteur, qui ne veut pas le résultat dommageable pour lui-même, envisage le résultat de son acte comme possible et l'accepte au cas où il se produirait (ATF 137 IV 1 consid. 4.2.3; 133 IV 9 = JdT 2007 I 573 consid. 4.1; 131 IV 1 consid. 2.2; 130 IV 58 consid. 8.2). Le dol éventuel peut aussi être retenu lorsque l'auteur accepte par indifférence que le danger créé se matérialise; le dol éventuel implique ainsi l'indifférence de l'auteur quant à la réalisation de l'état de fait incriminé (P. GRAVEN / B. STRÄULI, L'infraction pénale punissable, 2ème éd., Berne 1995, n. 156 p. 208).</w:t>
      </w:r>
    </w:p>
    <w:p>
      <w:r>
        <w:rPr>
          <w:b/>
        </w:rPr>
        <w:t>E. 4.6</w:t>
      </w:r>
    </w:p>
    <w:p>
      <w:r>
        <w:t>La tentative suppose 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sont sans pertinence pour juger si l'auteur s'est rendu coupable de tentative de meurtre (ATF 137 IV 113 consid. 1.4.2;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w:t>
      </w:r>
    </w:p>
    <w:p>
      <w:r>
        <w:rPr>
          <w:b/>
        </w:rPr>
        <w:t>E. 4.7</w:t>
      </w:r>
    </w:p>
    <w:p>
      <w:r>
        <w:t>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La violence des coups portés constitue également un élément déterminant dans la qualification juridique. Ainsi, selon sa nature, un seul coup porté peut suffire pour retenir l'infraction de tentative d'homicide par dol éventuel (arrêt du Tribunal fédéral 6B_1385/2019 du 27 février 2020 consid. 4.3.1 et les arrêts cités).</w:t>
      </w:r>
    </w:p>
    <w:p>
      <w:r>
        <w:t>- 11/15 - P/545/2025</w:t>
      </w:r>
    </w:p>
    <w:p>
      <w:r>
        <w:rPr>
          <w:b/>
        </w:rPr>
        <w:t>E. 4.8</w:t>
      </w:r>
    </w:p>
    <w:p>
      <w:r>
        <w:t>En l’espèce, le recourant estime que les conditions d'un classement n'étaient pas réunies, s'agissant de l'infraction de tentative de meurtre, subsidiairement de tentative de lésions corporelles graves. Certes, les éléments du dossier doivent être analysés, à ce stade de la procédure, à la lumière du principe "in dubio pro duriore". De jurisprudence constante, en présence d'infractions graves, le renvoi en jugement doit par ailleurs être privilégié. Tel n'est toutefois le cas que lorsque la situation probatoire n'est pas claire. Or, dans le cas présent, il est établi que le recourant a, par surprise, été violenté et blessé par les prévenus, qui s’en sont ensemble pris à lui, le matin du 29 décembre 2024 dans la cour de la prison de Champ-Dollon. Les protagonistes s’opposent sur le déroulement de l’altercation. En particulier, le recourant soutient que l'intention des prévenus à son encontre allait au-delà des lésions effectivement causées, dès lors que ceux-ci lui ont asséné des coups de pied à la tête de type "penalty", ce que ces derniers contestent. À cet égard, le recourant a déclaré, à l’infirmière et au médecin qui l’avaient examiné le jour des faits, avoir été frappé sur différentes parties du corps, avant d’affirmer, lors de son dépôt de plainte, n’avoir reçu "que des coups au niveau de la tête". Il n’a enfin précisé que devant le Ministère public, plusieurs mois après les faits et sur question du Procureur, qu’il s’agissait de coups de pied de type "penalty", sans toutefois détailler ses propos. Ces variations commandent d'apprécier la crédibilité de ses déclarations quant à la volonté homicide des prévenus avec une certaine circonspection, ce d’autant que le recourant a utilisé le terme "tabasser" et non tuer lorsqu’il a évoqué à la police les intentions du dénommé G______ à son endroit, stipulant en ce sens: "Si M. G______ était vraiment une victime dans notre affaire, il n’enverrait pas des gens me tabasser en prison, il laisserait la justice faire son travail". Le dossier ne corrobore, par ailleurs, pas ses propos en lien avec la violence des coups portés. En effet, les images de vidéosurveillance ne permettent pas de discerner si les personnes autour du recourant lui portent des coups de pied au niveau du visage ou de la tête. L’on ne distingue pas non plus clairement qui a donné quel(s) coup(s) au recourant, à l’exception du coup de tête assené par C______. Néanmoins, l’on ne voit pas que les prévenus prennent de l’élan, en courant par exemple, pour donner plus de force à leurs coups. La position des pieds des prévenus – bord ou pointe – au moment des coups portés au recourant lorsqu’il est au sol n’est également pas discernable. Le recourant n’est au demeurant pas inconscient au sol, celui-ci étant parvenu à se relever et à rejoindre la porte qui mène à l’intérieur. Dans ces circonstances, il ne paraît guère possible d’établir que les coups de pied donnés au recourant puissent être assimilés à des "penalty", donnés avec grande force et avec la pointe du pied, sur une victime couchée au sol, inconsciente.</w:t>
      </w:r>
    </w:p>
    <w:p>
      <w:r>
        <w:t>- 12/15 - P/545/2025 Pour le surplus, la nature des lésions subies par le recourant au niveau du visage et de la tête [une plaie infraorbitaire gauche de 0,5 cm, traitée par un point de suture, et une mobilité des dents 21, 22, 31, 32, avec discrète luxation nécessitant la mise en place de contention dentaire] confirme que les coups donnés n'ont ni été portés avec une violence qualifiée ni n’ont été, objectivement, susceptibles de mettre sa vie en danger. Sur le plan subjectif, à l'instar de ce qu'a considéré le Ministère public, aucun élément de la procédure ne démontre que les prévenus auraient, expressément, pris la décision de s'en prendre, ensemble, à la vie du recourant, respectivement que les uns auraient été informés de l'intention des autres d'asséner un ou plusieurs coups violents, avec le pied, sur le visage ou la tête du recourant. De même, il n’existe pas de soupçons suffisants quant au fait que les prévenus se seraient accommodés d'une issue fatale. En effet, la cohue générale autour du recourant ne permet pas de démontrer que les prévenus ont sciemment visé sa tête. De plus, la violence des coups portés par les prévenus n’était pas telle que le recourant se trouvât dans l’impossibilité de s’échapper, ayant au contraire réussi à se relever, à courir vers la porte menant à l’intérieur du bâtiment et à effectuer quelques mouvements défensifs, certes, sans succès. De même, bien que les prévenus l’aient poursuivi, ils ne l’ont pas eux-mêmes fait tomber au sol, une seconde fois. Ils ne l’ont ensuite pas empêché d’entrer à l’intérieur du bâtiment lorsque la porte s’est ouverte. De tels éléments sont ainsi difficilement conciliables avec une détermination homicide de la part des prévenus et ne sont dès lors pas propres à fonder une prévention pénale suffisante d’infraction à la vie du recourant. Le comportement adopté par les prévenus n’était, en outre, pour les motifs précédemment exposés, pas de nature à causer des lésions corporelles graves au recourant. Dans ce contexte, les déclarations confuses et contradictoires des prévenus sur l’origine du conflit et le déroulement des faits, notamment en lien avec la présence d’une lame de rasoir en mains du recourant, ne suffisent pas, à elles-seules, à admettre des soupçons suffisants de l’existence d’une tentative de meurtre, voire d’une tentative de lésions corporelles graves. Il en va de même des menaces de mort évoquées par le recourant dans son écriture, lesquelles ne sont, en tout état, confirmées par aucun élément objectif du dossier. Partant, la condamnation des prévenus, sous l'angle de ces chefs d’infractions paraît quasi exclue. Le Ministère public était, dès lors, en droit de classer ces préventions, lesquelles se rapportent à des circonstances de fait aggravantes qui n’ont pas été retenues dans l’ordonnance pénale, à savoir des faits internes supplémentaires (soit en particulier une volonté meurtrière allant au-delà des lésions effectivement causées), de sorte qu’une ordonnance de classement partiel semblait opportune dans ce cas.</w:t>
      </w:r>
    </w:p>
    <w:p>
      <w:r>
        <w:t>- 13/15 - P/545/2025</w:t>
      </w:r>
    </w:p>
    <w:p>
      <w:r>
        <w:rPr>
          <w:b/>
        </w:rPr>
        <w:t>E. 5</w:t>
      </w:r>
    </w:p>
    <w:p>
      <w:r>
        <w:t>Justifiée, l'ordonnance querellée sera donc confirmée.</w:t>
      </w:r>
    </w:p>
    <w:p>
      <w:r>
        <w:rPr>
          <w:b/>
        </w:rPr>
        <w:t>E. 6</w:t>
      </w:r>
    </w:p>
    <w:p>
      <w:r>
        <w:t>Le recourant sollicite l'octroi de l'assistance judiciaire gratuite pour la procédure de recours.</w:t>
      </w:r>
    </w:p>
    <w:p>
      <w:r>
        <w:rPr>
          <w:b/>
        </w:rPr>
        <w:t>E. 6.1</w:t>
      </w:r>
    </w:p>
    <w:p>
      <w:r>
        <w:t>À teneur de l'art. 136 al. 1 let. b CPP, la direction de la procédure accorde entièrement ou partiellement l'assistance judiciaire gratuite à la victime, pour lui permettre de faire aboutir sa plainte pénale, si elle ne dispose pas de ressources suffisantes et que l'action pénale ne paraît pas vouée à l'échec. L'assistance judiciaire comprend, notamment, l'exonération des frais de procédure (art. 136 al. 2 let. b CPP).</w:t>
      </w:r>
    </w:p>
    <w:p>
      <w:r>
        <w:rPr>
          <w:b/>
        </w:rPr>
        <w:t>E. 6.2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6.3</w:t>
      </w:r>
    </w:p>
    <w:p>
      <w:r>
        <w:t>En l'espèce, indépendamment de la situation financière du recourant, force est de constater que le recours était voué à l'échec pour les motifs exposés plus haut, de sorte que les conditions pour l'octroi de l'assistance judiciaire pour la procédure de recours ne sont pas remplies. La demande sera, partant, rejetée.</w:t>
      </w:r>
    </w:p>
    <w:p>
      <w:r>
        <w:rPr>
          <w:b/>
        </w:rPr>
        <w:t>E. 7</w:t>
      </w:r>
    </w:p>
    <w:p>
      <w:r>
        <w:t>Le recourant, qui succombe, supportera les frais envers l'État, fixés en totalité à CHF 900.- (art. 428 al. 1 CPP et 13 al. 1 du Règlement fixant le tarif des frais en matière pénale, RTFMP; E 4 10.03). Le refus d'octroi de l'assistance juridique gratuite est, quant à lui, rendu sans frais (art. 20 RAJ). * * * * *</w:t>
      </w:r>
    </w:p>
    <w:p>
      <w:r>
        <w:t>- 14/15 - P/545/2025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