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ACPR/374/2025 vom 9. Januar 2024</w:t>
      </w:r>
    </w:p>
    <w:p>
      <w:r>
        <w:t>GE Cour de justice, 2024-01-09, FR</w:t>
      </w:r>
    </w:p>
    <w:p>
      <w:r>
        <w:rPr>
          <w:b/>
        </w:rPr>
        <w:t xml:space="preserve">Quelle: </w:t>
      </w:r>
      <w:r>
        <w:t>https://mcp.opencaselaw.ch/entscheid/ge_gerichte_ACPR_374_2025</w:t>
      </w:r>
    </w:p>
    <w:p>
      <w:r>
        <w:t>FR: GE_GERICHTE ACPR/374/2025 du 9 janvier 2024</w:t>
      </w:r>
    </w:p>
    <w:p>
      <w:r>
        <w:t>IT: GE_GERICHTE ACPR/374/2025 del 9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qu'il existe des soupçons suffisants de la commission de diverses infractions.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 entrée en matière est exclue (Y. JEANNERET / A. KUHN / C. PERRIER DEPEURSINGE (éds), Commentaire romand : Code de procédure pénale suisse, 2ème éd., Bâle 2019, n. 9 ad art. 310). 2.2.1. À teneur de l'art. 123 ch. 1 CP, quiconque, intentionnellement, fait subir à une personne une autre atteinte à l'intégrité corporelle ou à la santé est puni sur plainte d'une peine privative de liberté de trois ans au plus ou d'une peine pécuniaire.</w:t>
      </w:r>
    </w:p>
    <w:p>
      <w:r>
        <w:t>- 6/10 - P/11591/2023 L'auteur est poursuivi d'office s'il s'en prend à une personne hors d'état de se défendre ou à une personne, notamment à un enfant, dont il a la garde ou sur laquelle il a le devoir de veiller (ch. 2 al. 1 et 3). 2.2.2. Selon l'art. 126 CP, quiconque se livre sur une personne à des voies de fait qui ne causent ni lésion corporelle ni atteinte à la santé est, sur plainte, puni d'une amende (ch. 1), la poursuite ayant lieu d'office si l'auteur agit à réitérées reprises contre une personne, notamment un enfant, dont il a la garde ou sur laquelle il a le devoir de veiller (ch. 2 let. a). 2.2.3. D'après l'art. 219 al. 1 CP, quiconque viole son devoir d'assister ou d'élever une personne mineure dont il met ainsi en danger le développement physique ou psychique, ou qui manque à ce devoir, est puni d'une peine privative de liberté de trois ans au plus ou d'une peine pécuniaire. Cette disposition protège le développement physique ou psychique du mineur, à savoir d'une personne âgée de moins de 18 ans (ATF 126 IV 136 consid. 1b; 125 IV 64 consid. 1; 125 IV 64 consid. 1; arrêt du Tribunal fédéral 6B_1199/2022 du 28 août 2023 consid. 3.1.1).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(ATF 125 IV 64 consid. 1a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1a; arrêt du Tribunal fédéral 6B_1220/2020 du 1er juillet 2021 consid. 1.2).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arrêts du Tribunal fédéral 6B_586/2021 du 26 janvier 2022 consid. 1.2; 6B_138/2021 du 23 septembre 2021 consid. 1.4.2).</w:t>
      </w:r>
    </w:p>
    <w:p>
      <w:r>
        <w:t>- 7/10 - P/11591/2023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(arrêts du Tribunal fédéral 6B_1199/2022 du 28 août 2023 consid. 3.1.3; 6B_457/2013 du 29 octobre 2013 consid. 2). 2.2.4. Les art. 123 et 126 CP peuvent, selon les circonstances, entrer en concours avec l'art. 219 CP (arrêts du Tribunal fédéral 6B_892/2020 du 16 février 2021 consid. 8.3 et 6B_1256/2016 du 21 février 2018 consid. 1.4).</w:t>
      </w:r>
    </w:p>
    <w:p>
      <w:r>
        <w:rPr>
          <w:b/>
        </w:rPr>
        <w:t>E. 2.3</w:t>
      </w:r>
    </w:p>
    <w:p>
      <w:r>
        <w:t>L'art. 182 al. 1 CP punit quiconque, en qualité d'offreur, d'intermédiaire ou d'acquéreur, se livre à la traite d'un être humain à des fins d'exploitation sexuelle, d'exploitation de son travail ou en vue du prélèvement d'un organe. La traite des êtres humains est définie à l'art. 4 let. a de la Convention sur la lutte contre la traite des êtres humains du 16 mai 2005 (CETH). Selon cette disposition,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à la Convention des Nations Unies contre la criminalité transnationale organisée visant à prévenir, réprimer et punir la traite des personnes, en particulier des femmes et des enfants (arrêt du Tribunal fédéral 2C_483/2021 du 14 décembre 2021 consid. 7.1.1). Il y a exploitation au travail, au sens de l'art. 182 CP, en cas d'activité forcée, d'esclavage ou de prestations accomplies dans des conditions analogues à l'esclavage. Il en va de même quand une personne est continuellement empêchée d'exercer ses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(arrêts du Tribunal fédéral 2C_483/2021 précité, consid. 7.1.2 et 1B_450/2017 du 29 mars 2018 consid. 4.3.1).</w:t>
      </w:r>
    </w:p>
    <w:p>
      <w:r>
        <w:t>- 8/10 - P/11591/2023 2.4.1. En l'espèce, la recourante impute divers comportements à la mise en cause – laquelle occupait une position de garante envers elle –, constitutifs, selon elle, de violation du devoir d'assistance ou d'éducation (art. 219 CP). Ainsi, sa tante l'aurait, en l'espace d'un an, soit entre juin 2022 et juillet 2023, violentée physiquement et verbalement à plusieurs reprises. À la suite de ces agissements, elle aurait présenté des atteintes physiques et un état anxieux, lequel persisterait à ce jour. Bien que le Ministère public ait considéré qu'il n'était pas établi que le développement physique ou psychique de la mineure eût été mis en danger, rien ne permet, en l'état, de nier le soupçon de commission d'actes de violence à plusieurs reprises, d'atteintes alléguées par la mineure et d'un lien de causalité entre ces troubles et les agissements imputés à la mise en cause. Il ressort en effet des déclarations de l'intervenante du SPMi que la recourante – suivie par une psychiatre – a été hospitalisée à plusieurs reprises à la suite de crises d'angoisses, avant d'être placée dans l'institution "J______" pour trois semaines, au vu de son profond mal-être. Si les actes reprochés à la mise en cause – dont la qualification juridique souffre de demeurer indécise, à ce stade – s'avéraient réalisés, ils pourraient tomber sous le coup de l'art. 123 ch. 2 CP ou 126 ch. 2 CP – la commission de trois actes de violence sur une période de douze mois dénotant, a priori, une certaine habitude –, infractions n'ayant pas été examinées par le Ministère public dans le cadre de l'ordonnance querellée, voire de l'art. 219 CP, infractions qui se poursuivent toutes d'office. Les conditions pour le prononcé d'une non-entrée en matière s'agissant de ces infractions ne sont donc, en l'état, pas réalisées. À cette aune, le recours se révèle fondé. Partant, la décision querellée sera annulée et la cause renvoyée au Ministère public pour qu'il procède aux actes d'enquête qu'il estimera nécessaires, dont notamment l'audition de D______ et de H______ et la production du dossier médical de la recourante, étant précisé que les agissements reprochés devront être examinés tant sous l'angle de l'art. 219 CP, que des art. 123 et 126 CP. 2.4.2. La recourante semble encore reprocher à la mise en cause de l'avoir exploitée en l'ayant obligée à faire le ménage de l'appartement de ses proches, faits susceptibles, selon elle, d'être constitutifs de traite d'êtres humains. Or, contrairement à ce qu'elle soutient, ses allégations – à supposer qu'elles soient vraies – ne permettraient pas de fonder une infraction à l'art. 182 CP. En effet, la condition de l'exploitation fait défaut, aucun élément permettant de retenir que la recourante aurait été assujettie à des conditions assimilables à de l'esclavage; ni traitée comme une marchandise. Elle ne le prétend du reste pas. Il ressort au contraire de ses propres déclarations qu'elle appréciait l'amie de sa tante et qu'elle l'aidait de temps en temps à nettoyer l'appartement. Par ailleurs, qu'elle ait fait hebdomadairement quatre heures de ménage chez un prénommé G______ – cousin de sa tante –, contre une rémunération de CHF 50.-, ne suffit pas à retenir, à lui seul, l'existence de l'infraction</w:t>
      </w:r>
    </w:p>
    <w:p>
      <w:r>
        <w:t>- 9/10 - P/11591/2023 reprochée à la mise en cause. En tout état, la recourante n'allègue pas avoir souhaité quitter son (prétendu) travail, ni en avoir été empêchée. Le recours sera dès lors rejeté sur ce point.</w:t>
      </w:r>
    </w:p>
    <w:p>
      <w:r>
        <w:rPr>
          <w:b/>
        </w:rPr>
        <w:t>E. 3</w:t>
      </w:r>
    </w:p>
    <w:p>
      <w:r>
        <w:t>L'admission partielle du recours ne donnera pas lieu à la perception de frais (art. 428 al. 1 CPP).</w:t>
      </w:r>
    </w:p>
    <w:p>
      <w:r>
        <w:rPr>
          <w:b/>
        </w:rPr>
        <w:t>E. 4</w:t>
      </w:r>
    </w:p>
    <w:p>
      <w:r>
        <w:t>L'activité de Me B______ sera indemnisée par l'autorité qui l'a nommée (art. 4, 6 et 10 du Règlement fixant la rémunération des curateurs [RRC; E 1.05.16]; ACPR/726/2021 du 10 novembre 2021 consid. 5). * * * * *</w:t>
      </w:r>
    </w:p>
    <w:p>
      <w:r>
        <w:t>- 10/10 - P/11591/2023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