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ACPR/374/2020 vom 11. März 2020</w:t>
      </w:r>
    </w:p>
    <w:p>
      <w:r>
        <w:t>GE Cour de justice, 2020-03-11, FR</w:t>
      </w:r>
    </w:p>
    <w:p>
      <w:r>
        <w:rPr>
          <w:b/>
        </w:rPr>
        <w:t xml:space="preserve">Quelle: </w:t>
      </w:r>
      <w:r>
        <w:t>https://mcp.opencaselaw.ch/entscheid/ge_gerichte_ACPR_374_2020</w:t>
      </w:r>
    </w:p>
    <w:p>
      <w:r>
        <w:t>FR: GE_GERICHTE ACPR/374/2020 du 11 mars 2020</w:t>
      </w:r>
    </w:p>
    <w:p>
      <w:r>
        <w:t>IT: GE_GERICHTE ACPR/374/2020 del 11 marzo 2020</w:t>
      </w:r>
    </w:p>
    <w:p>
      <w:pPr>
        <w:pStyle w:val="Heading2"/>
      </w:pPr>
      <w:r>
        <w:t>Erwägungen</w:t>
      </w:r>
    </w:p>
    <w:p>
      <w:r>
        <w:rPr>
          <w:b/>
        </w:rPr>
        <w:t>E. 1</w:t>
      </w:r>
    </w:p>
    <w:p>
      <w:r>
        <w:t>Le recours est recevable pour avoir été déposé selon la forme et dans le délai prescrits (art. 385 al. 1 et 396 al. 1 CPP), concerner une ordonnance prononçant une interdiction de postuler (art. 61 cum 62 al. 1 CPP; arrêt du Tribunal fédéral 1B_226/2016 du 15 septembre 2016 consid. 2 et les références citées) – décision sujette à contestation auprès de la Chambre de céans (art. 393 al. 1 let. a CPP) – et émaner d’une personne appelée à donner des renseignements qui, partie à la procédure (art. 105 al. 1 let. d e al. 2 CPP), a qualité pour agir, ayant un intérêt juridiquement protégé à la modification ou à l'annulation de la décision querellée (art. 382 al. 1 CPP), puisqu'elle la prive définitivement de pouvoir choisir son avocat (art. 127 al. 1 CPP; arrêt du Tribunal fédéral 1B_510/2018 du 14 mars 2019 consid. 1 non publié in ATF 145 IV 218).</w:t>
      </w:r>
    </w:p>
    <w:p>
      <w:r>
        <w:t>- 5/8 - P/16180/2018</w:t>
      </w:r>
    </w:p>
    <w:p>
      <w:r>
        <w:rPr>
          <w:b/>
        </w:rPr>
        <w:t>E. 2</w:t>
      </w:r>
    </w:p>
    <w:p>
      <w:r>
        <w:t>La recourante considère qu’il n’existe aucun conflit d’intérêts concret s’opposant à ce qu’elle confie la défense de ses intérêts au même avocat que les prévenus.</w:t>
      </w:r>
    </w:p>
    <w:p>
      <w:r>
        <w:rPr>
          <w:b/>
        </w:rPr>
        <w:t>E. 2.1</w:t>
      </w:r>
    </w:p>
    <w:p>
      <w:r>
        <w:t>Les parties à une procédure pénale peuvent librement choisir un conseil juridique pour défendre leurs intérêts; la législation sur les avocats est toutefois réservée (art. 127 al. 1 et 4 CPP). L'art. 12 let. c LLCA prescrit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Elle doit également être abordée en relation avec l'art. 13 LLCA qui a trait au secret professionnel de l'avocat. L'avocat a notamment le devoir d'éviter la double (ou multiple) représentation, c'est- à-dire le cas où il serait amené à défendre les intérêts opposés de deux (ou plusieurs) parties à la fois, car il n'est alors plus en mesure de respecter pleinement son obligation de fidélité et son devoir de diligence envers chacun de ses clients (arrêt du Tribunal fédéral 1B_602/2019 du 5 février 2020 consid. 2.1).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 a fortiori que l'avocat procède contre un client actuel (ATF 145 IV 218 consid. 2.1 p. 222 s.; 134 II 108 consid. 5.2 p. 115).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Dès que le conflit d'intérêts survient, l'avocat doit mettre fin à la représentation (arrêt du Tribunal fédéral 1B_582/2019 du 20 mars 2020 consid. 5.1 et les références citées).</w:t>
      </w:r>
    </w:p>
    <w:p>
      <w:r>
        <w:t>- 6/8 - P/16180/2018 L'avocat qui, en violation des obligations énoncées à l'art. 12 LLCA, accepte ou poursuit la défense d'intérêts contradictoires doit se voir dénier, par l'autorité, la capacité de postuler (ATF 135 II 145 consid. 9.1; 134 II 108 consid. 4.2.1). Le juge statue d'office et en tout temps sur ce point (ATF 141 IV 257 consid. 2.2).</w:t>
      </w:r>
    </w:p>
    <w:p>
      <w:r>
        <w:rPr>
          <w:b/>
        </w:rPr>
        <w:t>E. 2.2</w:t>
      </w:r>
    </w:p>
    <w:p>
      <w:r>
        <w:t>En l'occurrence, la recourante ne nie pas que sa position dans la procédure n'est pas identique à celle des prévenus et que son rôle dans les faits dénoncés doit encore être éclairci. Par ailleurs, si ses déclarations à la police concordent pour l'essentiel avec celles faites par ses parents, il n'est pas exclu qu'elles soient amenées à évoluer, notamment en fonction des éléments recueillis à la procédure. Ainsi, comme l'a relevé le Ministère public, une mise en prévention de la recourante ne peut être écartée, étant précisé que la loi fédérale sur l’acquisition d’immeubles par des personnes à l’étranger (LFAIE – RS 211.412.41), que la recourante pourrait avoir cherché à éluder en achetant la propriété de G_____, comporte un certain nombre de dispositions pénales. Ces divers éléments pourraient conduire à des divergences entre les intérêts de la recourante et ceux des prévenus. C'est donc à juste titre que le Ministère public a considéré que leur défense par un avocat unique était susceptible de contrevenir à l'art. 12 let. c LLCA.</w:t>
      </w:r>
    </w:p>
    <w:p>
      <w:r>
        <w:rPr>
          <w:b/>
        </w:rPr>
        <w:t>E. 3</w:t>
      </w:r>
    </w:p>
    <w:p>
      <w:r>
        <w:t>Justifiée, la décision querellée sera donc confirmée.</w:t>
      </w:r>
    </w:p>
    <w:p>
      <w:r>
        <w:rPr>
          <w:b/>
        </w:rPr>
        <w:t>E. 4</w:t>
      </w:r>
    </w:p>
    <w:p>
      <w:r>
        <w:t>La recourante, qui succombe, supportera les frais envers l'État, qui seront fixés en totalité à CHF 1'500.-, émolument de décision inclus (art. 428 al. 1 CPP et 13 al. 1 du Règlement fixant le tarif des frais en matière pénale, RTFMP ; E 4 10.03). * * * * *</w:t>
      </w:r>
    </w:p>
    <w:p>
      <w:r>
        <w:t>- 7/8 - P/16180/2018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