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ACPR/372/2022 vom 13. Januar 2022</w:t>
      </w:r>
    </w:p>
    <w:p>
      <w:r>
        <w:t>GE Cour de justice, 2022-01-13, FR</w:t>
      </w:r>
    </w:p>
    <w:p>
      <w:r>
        <w:rPr>
          <w:b/>
        </w:rPr>
        <w:t xml:space="preserve">Quelle: </w:t>
      </w:r>
      <w:r>
        <w:t>https://mcp.opencaselaw.ch/entscheid/ge_gerichte_ACPR_372_2022</w:t>
      </w:r>
    </w:p>
    <w:p>
      <w:r>
        <w:t>FR: GE_GERICHTE ACPR/372/2022 du 13 janvier 2022</w:t>
      </w:r>
    </w:p>
    <w:p>
      <w:r>
        <w:t>IT: GE_GERICHTE ACPR/372/2022 del 13 gennaio 2022</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classé sa plainte pour lésions corporelles par négligence.</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arrêt 6B_400/2020 du 20 janvier 2021 consid. 3.1).</w:t>
      </w:r>
    </w:p>
    <w:p>
      <w:r>
        <w:t>- 9/16 - P/14180/2018 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(art. 318 al. 2 1ère phrase CPP). La décision négative sur une requête en complément de preuves n'est pas sujette à recours mais la demande peut être réitérée dans le cadre des débats (art. 318 al. 3 CPP) (A. KUHN / Y. JEANNERET / C. PERRIER DEPEURSINGE (éds), Commentaire romand : Code de procédure pénale suisse, 2e éd. Bâle 2019, n. 5 ad art. 319).</w:t>
      </w:r>
    </w:p>
    <w:p>
      <w:r>
        <w:rPr>
          <w:b/>
        </w:rPr>
        <w:t>E. 2.2</w:t>
      </w:r>
    </w:p>
    <w:p>
      <w:r>
        <w:t>L'art. 125 CP punit celui qui, par négligence, aura fait subir à une personne une atteinte à l’intégrité corporelle ou à la santé.</w:t>
      </w:r>
    </w:p>
    <w:p>
      <w:r>
        <w:rPr>
          <w:b/>
        </w:rPr>
        <w:t>E. 2.2.1</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Dans le domaine du trafic routier, il convient de se référer aux règles de la circulation routière (ATF 122 IV 133 consid. 2a). En second lieu, la violation du devoir de prudence doit être fautive, c'est-à-dire qu'il faut pouvoir reprocher à l'auteur une inattention ou un manque d'effort blâmable (ATF 135 IV 56 consid. 2.1; 134 IV 255 consid. 4.2.3 et les références citées).</w:t>
      </w:r>
    </w:p>
    <w:p>
      <w:r>
        <w:t>- 10/16 - P/14180/2018</w:t>
      </w:r>
    </w:p>
    <w:p>
      <w:r>
        <w:rPr>
          <w:b/>
        </w:rPr>
        <w:t>E. 2.2.2</w:t>
      </w:r>
    </w:p>
    <w:p>
      <w:r>
        <w:t>L'art. 26 de la loi fédérale sur la circulation routière du 19 décembre 1958 (ci-après, LCR; RS 741.01)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(ATF 143 IV 138 consid. 2.1; 125 IV 83 consid. 2b et les références citées).</w:t>
      </w:r>
    </w:p>
    <w:p>
      <w:r>
        <w:rPr>
          <w:b/>
        </w:rPr>
        <w:t>E. 2.2.3</w:t>
      </w:r>
    </w:p>
    <w:p>
      <w:r>
        <w:t>Pour certaines catégories d'usagers, notamment les enfants, l'art. 26 al. 2 LCR renverse ce principe et consacre celui de la méfiance, selon lequel face à ces personnes, il faut faire preuve d'une attention accrue. La mesure dans laquelle cette attention accrue est requise dépend de multiples facteurs qu'il n'est pas possible de définir abstraitement. Ce qu'il faut en revanche retenir, c'est que le degré d'attention et de prudence doit, certes, être élevé car l'objectif est de préserver la sécurité et l'intégrité des usagers, mais ne doit pas être disproportionné et demeurer dans une mesure raisonnable avec les exigences que l'on peut adresser à un être humain, au risque de basculer dans une approche purement objective du droit pénal, contraire aux principes généraux de celui-ci qui reposent sur la faute (Y. JEANNERET, Principe de la confiance vs. Principe de la méfiance publié in Zeitschrift Strassenverkehr, 2017, p.28-39 et les références citées). L'art. 26 al. 2 LCR signifie que la méfiance prévaut, non seulement lorsqu'un autre usager se comporte effectivement de manière incorrecte, mais déjà lorsque des signes avant-coureurs reconnaissables pour les tiers tendent à démontrer qu'il va adopter un tel comportement. Il n'est en revanche pas possible de réaliser que quelqu'un va se comporter de manière incorrecte avant que ce comportement soit reconnaissable (A. BUSSY/ B. RUSCONI/ Y. JEANNERET/ A. KUHN/ C. MIZEL/ C. MÜLLER, Code suisse de la circulation routière commenté, Bâle 2015, 4ème ed., n. 5.1 ad art. 26). La jurisprudence retient que le principe dit de la méfiance ne doit pas aller jusqu'à imposer au conducteur d'adapter sa conduite en freinant, en klaxonnant et, au besoin en s'arrêtant, à chaque fois qu'il aperçoit un enfant cheminer tranquillement sur le trottoir (arrêt du Tribunal fédéral 6S.80/2002 du 30 mai 2002 consid. 3.b.bb; ATF 129 IV 282 consid. 2.2.1 et 112 IV 87 consid. 2). Il s'applique cependant à tout le moins lorsque l'enfant se trouve sur le trottoir et se comporte d'une manière telle qu'il est compréhensible qu'il ne dédie pas toute son attention à la route et que, suivant la nature spontanée qui est propre aux enfants, il pourrait faire irruption dans le trafic sans crier gare (ATF 129 IV 282 consid. 2.2.1 et 112 IV 87 consid. 2;).</w:t>
      </w:r>
    </w:p>
    <w:p>
      <w:r>
        <w:t>- 11/16 - P/14180/2018</w:t>
      </w:r>
    </w:p>
    <w:p>
      <w:r>
        <w:rPr>
          <w:b/>
        </w:rPr>
        <w:t>E. 2.2.4</w:t>
      </w:r>
    </w:p>
    <w:p>
      <w:r>
        <w:t>À teneur de l'art. 31 al. 1 LCR, le conducteur devra rester constamment maître de son véhicule de façon à pouvoir se conformer aux devoirs de la prudence. L'art. 3 al. 1 de l'ordonnance sur les règles de la circulation routière du 13 novembre 1962 (ci-après, OCR ; RS 741.11) précise que le conducteur vouera son attention à la route et à la circulation. Le degré de l'attention requise par cet article s'apprécie au regard des circonstances d'espèce, telles que la densité du trafic, la configuration des lieux, l'heure, la visibilité et les sources de danger prévisibles (ATF 137 IV 290 consid. 3.6 et les références; arrêts du Tribunal fédéral fédéral 6B_69/2017 du 28 novembre 2017 consid. 2.2.1; 6B_665/2015 du 15 septembre 2016 consid. 2.2). Si l'endroit est sans visibilité, le conducteur doit s'arrêter ; au besoin, il doit avoir recours à l'aide d'une tierce personne, qui surveillera la manœuvre (art. 15 al. 3 OCR).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arrêts du Tribunal fédéral fédéral 6B_69/2017 du 28 novembre 2017 consid. 2.2.1; 6B_1157/2016 du 28 mars 2017 consid. 4.3).</w:t>
      </w:r>
    </w:p>
    <w:p>
      <w:r>
        <w:rPr>
          <w:b/>
        </w:rPr>
        <w:t>E. 2.2.5</w:t>
      </w:r>
    </w:p>
    <w:p>
      <w:r>
        <w:t>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2.3.1. À teneur de l'art. 4a al. 1 let. a OCR, la vitesse maximale générale des véhicules peut atteindre, lorsque les conditions de la route, de la circulation et de visibilité sont favorables est de 50 km/h dans les localités. Lorsque des signaux indiquent d'autres vitesses maximales, celles-ci sont applicables en lieu et place des limitations générales de vitesse ([visées à] al. 1) (art. 4a al. 5 OCR). Les signaux annonçant le début ou la fin de la limitation générale de vitesse à 50 km/h ne sont pas nécessaires sur les routes secondaires peu importantes (telles que les routes qui ne relient pas directement entre elles des localités ou des quartiers extérieurs, route agricoles de desserte, chemin forestiers, etc.; art. 4a al. 2 OCR (art. 22 al. 3 de l'ordonnance sur la signalisation routière du 5 septembre 1979 (ci- après, OSR; RS 741.21). 2.3.2. À teneur de l'art. 22a OSR, le signal "Zone 30" (2.59.1) désigne des routes, situées dans des quartiers ou des lotissements, sur lesquelles les conducteurs sont</w:t>
      </w:r>
    </w:p>
    <w:p>
      <w:r>
        <w:t>- 12/16 - P/14180/2018 tenus de circuler d'une manière particulièrement prudente et prévenante. La vitesse maximale est fixée à 30 km/h. Selon l'art. 22b OSR, le signal "Zone de rencontre" (2.59.5)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(al. 1). La vitesse maximale est fixée à 20 km/h (al. 2). Selon l'art. 22c OSR, les "Zones piétonnes" (2.59.3) sont réservées aux piétons et aux utilisateurs d'engins assimilés à des véhicules. Lorsqu'une plaque complémentaire autorise exceptionnellement un trafic restreint de véhicules, ceux-ci peuvent circuler tout au plus à l'allure du pas; les piétons et les utilisateurs d'engins assimilés à des véhicules bénéficient de la priorité. 2.3.3. L'art. 41a OCR précise que sur les routes secondaires situées dans les quartiers d'habitation et sur les routes secondaires sur lesquelles la circulation des véhicules n'est autorisée que dans une mesure limitée, les conducteurs sont tenus de circuler d'une manière particulièrement prudente et prévenante.</w:t>
      </w:r>
    </w:p>
    <w:p>
      <w:r>
        <w:rPr>
          <w:b/>
        </w:rPr>
        <w:t>E. 2.4</w:t>
      </w:r>
    </w:p>
    <w:p>
      <w:r>
        <w:t>Les passages pour piétons sont marqués par une série de bandes jaunes, le cas échéant de bandes blanches lorsqu'il s'agit de pavages, parallèles au bord de la chaussée (art. 77 OSR). Toutefois, hors des passages de sécurité qui leur sont réservés, les piétons doivent la priorité aux véhicules (art. 47 al. 5 OCR). Les piétons doivent traverser la chaussée avec prudence et par le plus court chemin en empruntant, là où cela est possible, un passage pour piétons, sur lesquels ils bénéficient de la priorité, mais ne doivent pas s'y lancer à l'improviste (art. 49 al. 2 LCR). L'art. 47 al. 1 OCR précise que les piétons doivent s'engager avec circonspection sur la chaussée.</w:t>
      </w:r>
    </w:p>
    <w:p>
      <w:r>
        <w:rPr>
          <w:b/>
        </w:rPr>
        <w:t>E. 2.5</w:t>
      </w:r>
    </w:p>
    <w:p>
      <w:r>
        <w:t>En l'espèce, il ressort des éléments du dossier, et en particulier du rapport de renseignements de la police du 9 juillet 2021, que la zone de l'accident a été établie, ainsi que les règles qui lui sont applicables. Ainsi, le heurt s'est produit sur une parcelle privée soumise aux règles de la circulation routière. En l'absence de toute restriction de vitesse indiquée – pas nécessaire dans une route secondaire peu importante – ou de toutes spécifications de zone "piétonne", "de rencontre" ou "30", la limite générale en localité de 50km/h est applicable. En outre, les véhicules y sont prioritaires par rapport aux piétons, hors passages de sécurité. À cet égard, contrairement à ce qu'allègue le recourant, le fait qu'un endroit soit utilisé, même fréquemment, par des piétons ne signifie pas qu'il doit, pour autant, être considéré</w:t>
      </w:r>
    </w:p>
    <w:p>
      <w:r>
        <w:t>- 13/16 - P/14180/2018 comme un passage pour piétons. En effet, un tel passage doit notamment répondre à des normes de signalisations (art. 77 OSR), ce qui n'est manifestement pas le cas en l'espèce. Partant, il est établi que l'accident n'a pas eu lieu sur un passage pour piétons. Les véhicules sont prioritaires à l'endroit du heurt et la limitation de vitesse est de 50 km/h. Reste à connaître les circonstances de l'accident. Il ressort de l'ensemble des éléments du dossier, notamment les rapports de police et les déclarations des personnes entendues que : le point d'impact entre l'enfant et la voiture se situe au niveau de la roue avant gauche du véhicule; le genou de E______ a "touché" le flanc avant gauche et sa tête/son nez a "tapé" au niveau du rétroviseur/montant du pare-brise; et la fracture de la jambe peut s'expliquer par le fait que l'enfant était en train de courir. Force est donc de constater que c'est l'enfant qui a percuté le véhicule et non l'inverse, tel que confirmé par I______, seul témoin de la scène. Les déclarations de E______ en contradiction avec ce qui précède ne peuvent être suivies dès lors qu'aucun élément au dossier ne les corrobore. De plus, il a expliqué être en état de choc après l'accident et modifié certaines de ses paroles. Les policiers ont, en l'absence de marquage au sol avant déplacement du véhicule, situé le point de choc sur la voie publique à gauche de la chaussée à la hauteur des 4ème et 5ème, et dernière, places réservées aux motos, avant le passage muni de</w:t>
      </w:r>
    </w:p>
    <w:p>
      <w:r>
        <w:rPr>
          <w:b/>
        </w:rPr>
        <w:t>E. 4</w:t>
      </w:r>
    </w:p>
    <w:p>
      <w:r>
        <w:t>Le recourant, qui succombe, supportera les frais envers l'État, qui seront fixés en totalité à CHF 1'500.- (art. 428 al. 1 CPP et 13 al. 1 du Règlement fixant le tarif des frais en matière pénale, RTFMP ; E 4 10.03).</w:t>
      </w:r>
    </w:p>
    <w:p>
      <w:r>
        <w:rPr>
          <w:b/>
        </w:rPr>
        <w:t>E. 5</w:t>
      </w:r>
    </w:p>
    <w:p>
      <w:r>
        <w:t>L'intimé, prévenu, qui obtient gain de cause, a droit à une juste indemnité pour ses dépens selon l'art. 429 al. 1 let. a CPP, applicable en instance de recours (art. 436 al. 1 CPP). Il conclut à une indemnité de CHF 969.30, correspondant à une activité de 3h à CHF 300.- de l'heure. Eu égard à sa réponse – écriture 8 pages (y compris la 1er page, les conclusions et signatures), à teneur de laquelle il se rapporte intégralement à l'ordonnance querellée, en la reprenant pour l'essentiel – l'activité réclamée semble excessive et un montant total de CHF 600.- TTC apparaît raisonnable et sera octroyé. Cette indemnité sera à la charge de l'Etat (ATF 147 IV 47 consid. 4.2.5), la partie plaignante qui succombe devant l'autorité de recours n'ayant pas à supporter l'indemnité des frais de défense du prévenu lorsque la décision attaquée est une ordonnance de classement ou de non- entrée en matière (ATF 139 IV 45 consid. 1.2; arrêt du Tribunal fédéral 6B_357/2015 du 16 septembre 2015 consid. 2.2). * * * * *</w:t>
      </w:r>
    </w:p>
    <w:p>
      <w:r>
        <w:t>- 15/16 - P/14180/2018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