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ACPR/371/2026 vom 16. April 2026</w:t>
      </w:r>
    </w:p>
    <w:p>
      <w:r>
        <w:t>GE Cour de justice, 2026-04-16, FR</w:t>
      </w:r>
    </w:p>
    <w:p>
      <w:r>
        <w:rPr>
          <w:b/>
        </w:rPr>
        <w:t xml:space="preserve">Quelle: </w:t>
      </w:r>
      <w:r>
        <w:t>https://mcp.opencaselaw.ch/entscheid/ge_gerichte_ACPR_371_2026</w:t>
      </w:r>
    </w:p>
    <w:p>
      <w:r>
        <w:t>FR: GE_GERICHTE ACPR/371/2026 du 16 avril 2026</w:t>
      </w:r>
    </w:p>
    <w:p>
      <w:r>
        <w:t>IT: GE_GERICHTE ACPR/371/2026 del 16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que le Ministère public aurait insuffisamment motivé sa décision, violant ainsi son droit d'être entendu.</w:t>
      </w:r>
    </w:p>
    <w:p>
      <w:r>
        <w:rPr>
          <w:b/>
        </w:rPr>
        <w:t>E. 2.1</w:t>
      </w:r>
    </w:p>
    <w:p>
      <w:r>
        <w:t>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(arrêt du Tribunal fédéral 7B_94/2023 du 28 août 2024 consid. 3.2.1).</w:t>
      </w:r>
    </w:p>
    <w:p>
      <w:r>
        <w:rPr>
          <w:b/>
        </w:rPr>
        <w:t>E. 2.2</w:t>
      </w:r>
    </w:p>
    <w:p>
      <w:r>
        <w:t>En l'espèce, l'ordonnance querellée a été suffisamment motivée, le Ministère public y ayant indiqué les raisons l'ayant conduit à ordonner l'établissement du profil d'ADN du recourant, à savoir que ce dernier avait déjà été condamné, les 19 janvier 2014, 15 novembre 2017, 10 novembre 2023, 28 mai 2024 et 20 mars 2025, pour des délits contre la loi fédérale sur les stupéfiants. Bien que succincte, une telle motivation apparaît suffisante. Le recourant l'a, du reste, parfaitement comprise puisqu'il a été en mesure de critiquer utilement la décision. Partant, ce grief sera rejeté.</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w:t>
      </w:r>
    </w:p>
    <w:p>
      <w:r>
        <w:t>- 7/13 - P/13370/2025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w:t>
      </w:r>
    </w:p>
    <w:p>
      <w:r>
        <w:t>- 8/13 - P/13370/2025 le cadre d’une procédure pénale et sur l’identification de personnes inconnues ou disparues, FF 2001 19ss, 45).</w:t>
      </w:r>
    </w:p>
    <w:p>
      <w:r>
        <w:rPr>
          <w:b/>
        </w:rPr>
        <w:t>E. 3.5</w:t>
      </w:r>
    </w:p>
    <w:p>
      <w:r>
        <w:t>En l'espèce, l'établissement du profil d'ADN du recourant a été ordonné pour élucider, non pas l'infraction en cours d'instruction, mais d'autres actes contraires à la LStup, dès lors qu'il avait déjà été soupçonné pour des faits similaires. Dans son recours, le recourant ne prétend pas que les conditions de l’art. 255 al. 1bis CPP ne seraient pas réalisées, au vu de ses précédentes condamnations pour des délits contre la loi sur les stupéfiants. Ce nonobstant, force est de constater qu'il existe des indices sérieux et concrets de la commission, par le recourant, de tels actes punissables. Le recourant vient à nouveau d'être interpellé par la police, le 1er avril 2026, à la Place de Montbrillant, se montrant très nerveux à la vue des policiers et résistant ensuite à son interpellation. Deux mois plus tôt, le 2 février 2026, il avait déjà été interpellé par la police dans le quartier des Pâquis, à Genève, après qu'un individu eut indiqué à la police qu'il tentait de vendre des stupéfiants à plusieurs personnes, dont lui. Lors de sa fouille, les policiers avaient retrouvé sur lui 30.30 grammes bruts de résine de cannabis, 5 pilules d'ecstasy et la somme de CHF 402.90, en diverses coupures, alors même que, à teneur de ses dernières explications lors de son audition du 3 février 2026, il ne travaillait pas. De plus, le recourant a été condamné à cinq reprises pour des délits contre la loi sur les stupéfiants (19 janvier 2014, 15 novembre 2017, 10 novembre 2023, 28 mai 2024 et 20 mars 2025). Ces condamnations à la LStup vont de pair avec des condamnations répétées pour des infractions à la législation sur les étrangers (11 juin 2015, 15 novembre 2017, 10 novembre 2023 et 28 mai 2024), étant relevé qu'il a encore été condamné à deux reprises pour rupture de ban (28 mai 2024 et 20 mars 2025). Ces éléments, ajoutés à sa situation personnelle, laissent très sérieusement craindre un ancrage dans la délinquance liée aux stupéfiants et permettent de penser que l'intéressé pourrait être impliqué dans d'autres infractions à la LStup encore inconnues des autorités, lesquelles pourraient lui être attribuées si l'on était en mesure de comparer son profil d'ADN à des traces prélevées sur les lieux de leur commission. Cette situation n'est pas comparable à celle que le Tribunal fédéral a été amené à trancher récemment (arrêt 7B_529/2026 du 26 janvier 2026), pour plusieurs raisons. Dans l'affaire en question, l'intéressé n'avait aucune condamnation pour infraction à l'art. 19 al. 1 LStup inscrite à son casier judiciaire, alors qu'ici, le recourant a plusieurs antécédents judiciaires à son actif, dont cinq pour des délits contre la loi sur les stupéfiants. Il est en outre soupçonné d'avoir commis une infraction similaire pour laquelle le Ministère public a ouvert une instruction le 3 février 2026. Enfin, les infractions à la LStup susceptibles d'être élucidées revêtent une certaine gravité eu égard à la santé publique. Il s'agit d'ailleurs d'un des cas expressément listés par la Directive A.5 du Procureur général (cf. n. 4.3) qui, bien que n'ayant pas force de</w:t>
      </w:r>
    </w:p>
    <w:p>
      <w:r>
        <w:t>- 9/13 - P/13370/2025 loi, est fondée sur l'art. 255 al. 1bis CPP, lequel autorise l'établissement d'un profil d'ADN pour les infractions passées (arrêt du Tribunal fédéral 7B_584/2025 du 9 mars 2026 consid. 2.5).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notamment,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Dès lors qu'il importe peu que le profil d'ADN du recourant ait déjà été ordonné à une ou plusieurs reprises par le passé, il ne sera pas donné suite à sa demande tendant à ce qu'une liste de tous les établissements de son profil d'ADN effectués par le passé soit versée à la procédure.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w:t>
      </w:r>
    </w:p>
    <w:p>
      <w:r>
        <w:t>- 10/13 - P/13370/2025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à ce stade de la procédure.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le délai d'effacement du profil d'ADN n'a pas à être mentionné expressément dans l'ordonnance d'établissement d'un tel profil, mais dans l'ordonnance pénale (ou le jugement) faisant suite à cette mesure (cf. art. 353 al. 1 let. fbis CPP), étant précisé qu'aucune ordonnance pénale en lien avec ces faits n'a été prononcée à ce jour. En effet, selon l'issue de la procédure, l'intérêt public à disposer du profil d'ADN de l'intéressé ne sera pas le même, de sorte qu'il appartiendra au juge du fond, cas échéant, de trancher cette question. Il s'ensuit que l'ordonnance querellée ne prête pas le flanc à la critique, les réquisits pour le prononcé de l'établissement du profil d'ADN du recourant étant réunis.</w:t>
      </w:r>
    </w:p>
    <w:p>
      <w:r>
        <w:rPr>
          <w:b/>
        </w:rPr>
        <w:t>E. 4</w:t>
      </w:r>
    </w:p>
    <w:p>
      <w:r>
        <w:t>Justifiée, l'ordonnance querellée sera donc confirmée. Le recours, qui s'avère mal fondé, pouvait d'emblée être traité sans échange d'écritures ni débats (art. 390 al. 2 et</w:t>
      </w:r>
    </w:p>
    <w:p>
      <w:r>
        <w:rPr>
          <w:b/>
        </w:rPr>
        <w:t>E. 4.6</w:t>
      </w:r>
    </w:p>
    <w:p>
      <w:r>
        <w:t>et 1B_203/2011 du 18 mai 2011 consid. 4).</w:t>
      </w:r>
    </w:p>
    <w:p>
      <w:r>
        <w:rPr>
          <w:b/>
        </w:rPr>
        <w:t>E. 5</w:t>
      </w:r>
    </w:p>
    <w:p>
      <w:r>
        <w:t>Le recourant, qui succombe, supportera les frais envers l'État, fixés en totalité à CHF 700.-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w:t>
      </w:r>
    </w:p>
    <w:p>
      <w:r>
        <w:rPr>
          <w:b/>
        </w:rPr>
        <w:t>E. 6</w:t>
      </w:r>
    </w:p>
    <w:p>
      <w:r>
        <w:t>Le recourant plaide au bénéfice d'une défense d'office. Dans la mesure où la procédure se poursuit, l’indemnité de son défenseur d’office sera fixée à la fin de la procédure (art. 135 al. 2 CPP). * * * * *</w:t>
      </w:r>
    </w:p>
    <w:p>
      <w:r>
        <w:t>- 11/13 - P/13370/2025</w:t>
      </w:r>
    </w:p>
    <w:p>
      <w:r>
        <w:t>- 12/13 - P/13370/2025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