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ACPR/370/2020 vom 31. Januar 2020</w:t>
      </w:r>
    </w:p>
    <w:p>
      <w:r>
        <w:t>GE Cour de justice, 2020-01-31, FR</w:t>
      </w:r>
    </w:p>
    <w:p>
      <w:r>
        <w:rPr>
          <w:b/>
        </w:rPr>
        <w:t xml:space="preserve">Quelle: </w:t>
      </w:r>
      <w:r>
        <w:t>https://mcp.opencaselaw.ch/entscheid/ge_gerichte_ACPR_370_2020</w:t>
      </w:r>
    </w:p>
    <w:p>
      <w:r>
        <w:t>FR: GE_GERICHTE ACPR/370/2020 du 31 janvier 2020</w:t>
      </w:r>
    </w:p>
    <w:p>
      <w:r>
        <w:t>IT: GE_GERICHTE ACPR/370/2020 del 31 gennaio 2020</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w:t>
      </w:r>
    </w:p>
    <w:p>
      <w:r>
        <w:t>- 6/12 - P/1749/2020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reproche au Ministère public de ne pas être entré en matière sur ses plaintes des 10 septembre et 5 octobre 2019.</w:t>
      </w:r>
    </w:p>
    <w:p>
      <w:r>
        <w:rPr>
          <w:b/>
        </w:rPr>
        <w:t>E. 3.1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 C. PERRIER DEPEURSINGE (éds), Commentaire romand : Code de procédure pénale suisse, Bâle 2019, n. 9 ad art. 310 ; R. PFISTER-LIECHTI (éd.), La procédure pénale fédérale, Fondation pour la formation continue des juges suisses, Berne 2010, p. 62 ; DCPR/85/2011 du 27 avril 2011). Le ministère public et l'autorité de recours disposent, dans ce cadre, d'un certain pouvoir d'appréciation. La</w:t>
      </w:r>
    </w:p>
    <w:p>
      <w:r>
        <w:t>- 7/12 - P/1749/2020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arrêts du Tribunal fédéral 6B_417/2017 du 10 janvier 2018 consid. 2.1.2 ; 6B_185/2016 du 30 novembre 2016 consid. 2.1.2 et les références citées).</w:t>
      </w:r>
    </w:p>
    <w:p>
      <w:r>
        <w:rPr>
          <w:b/>
        </w:rPr>
        <w:t>E. 3.2</w:t>
      </w:r>
    </w:p>
    <w:p>
      <w:r>
        <w:t>Une ordonnance de non-entrée en matière doit également être rendue lorsqu'il existe des empêchements de procéder (art. 310 al. 1 let. b CPP), par exemple lorsque l'action publique est prescrite (L. MOREILLON / A. PAREIN-REYMOND, CPP, Code de procédure pénale, 2e éd., Bâle 2016, n. 13 ad art. 310) ou que le délai pour déposer plainte prévu par l'art. 31 CP (cf. infra ch. 3.7) n'a pas été respecté (arrêt du Tribunal fédéral 6B_848/2018 du 4 décembre 2018 consid. 1.5). Selon l'art. 31 CP, le droit de porter plainte se prescrit par trois mois (1ère phr.). Le délai court du jour où l'ayant droit a connu l'auteur de l'infraction (2ème phr.).</w:t>
      </w:r>
    </w:p>
    <w:p>
      <w:r>
        <w:rPr>
          <w:b/>
        </w:rPr>
        <w:t>E. 3.3</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Les attaques qui mettent en cause les aptitudes professionnelles d'une personne ne sont ainsi pas constitutives d'atteinte à l'honneur. L'attaque ou la critique porte toutefois atteinte à l'honneur protégé par le droit pénal si elle ne se limite pas à rabaisser les qualités politiques ou professionnelles, mais est également propre à l'exposer au mépris en tant qu'être humain (ATF 137 IV 313 consid. 2.1.4 ; arrêt du Tribunal fédéral 6B_6/2015 du 23 mars 2016 consid. 2.2).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w:t>
      </w:r>
    </w:p>
    <w:p>
      <w:r>
        <w:t>- 8/12 - P/1749/2020 dégage du texte dans son ensemble (ATF 137 IV 313 consid. 2.1.3 p. 315 s. ; ATF 128 IV 53 consid. 1a p. 58 et les arrêts cités). Pour qu'il y ait diffamation, il faut que l'auteur s'adresse à un tiers. Est en principe considérée comme tiers toute personne autre que l'auteur et l'objet des propos qui portent atteinte à l'honneur (ATF 86 IV 209).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La calomnie (art. 174 CP) est une forme qualifiée de diffamation, dont elle se distingue par le fait que les allégations attentatoires à l'honneur sont fausses, que l'auteur a connaissance de la fausseté de ses allégations et qu'il n'y a, dès lors, pas de place pour les preuves libératoires prévues par l'art. 173 CP (arrêt du Tribunal fédéral 6B_1286/2016 du 15 août 2017 consid. 1.2).</w:t>
      </w:r>
    </w:p>
    <w:p>
      <w:r>
        <w:rPr>
          <w:b/>
        </w:rPr>
        <w:t>E. 3.4</w:t>
      </w:r>
    </w:p>
    <w:p>
      <w:r>
        <w:t>Se rend coupable d'injure celui qui aura, par la parole, l'écriture, l'image, le geste ou par des voies de fait, attaqué autrui dans son honneur (art. 177 al. 1 CP). L'art. 177 al. 2 CP permet au juge d'exempter l'auteur d'une injure de toute peine si l'injurié a directement provoqué l'injure par une conduite répréhensible. Le juge ne peut faire usage de la faculté que lui réserve l'art. 177 al. 2 CP que si l'injure a consisté en une réaction immédiate à un comportement répréhensible de l'injurié, lequel peut consister en une provocation ou en tout autre comportement blâmable (arrêt du Tribunal fédéral 6B_602/2009 du 29 septembre 2009 consid. 2.2). Ce comportement ne doit pas nécessairement viser l'auteur de l'injure. Une conduite grossière en public peut suffire (ATF 117 IV 270 consid. 2c p. 173). La notion d'immédiateté doit être comprise comme une notion temporelle, en ce sens que l'auteur doit avoir agi sous le coup de l'émotion provoquée par la conduite répréhensible de l'injurié, sans avoir eu le temps de réfléchir (ATF 83 IV 151 et les références citées).</w:t>
      </w:r>
    </w:p>
    <w:p>
      <w:r>
        <w:rPr>
          <w:b/>
        </w:rPr>
        <w:t>E. 3.5</w:t>
      </w:r>
    </w:p>
    <w:p>
      <w:r>
        <w:t>L'art. 180 al. 1 CP réprime le comportement de celui qui, par une menace grave, aura alarmé ou effrayé une personne. La menace est grave si elle est objectivement de nature à alarmer ou effrayer la victime. Est déterminante, à cet égard, la réaction qu'aurait une personne raisonnable, dotée d'une résistance psychologique moyenne, face à une situation identique (ATF 122 IV 97 consid. 2b; arrêt du Tribunal fédéral 6B_578/2016 du 19 août 2016 consid. 2.1).</w:t>
      </w:r>
    </w:p>
    <w:p>
      <w:r>
        <w:t>- 9/12 - P/1749/2020</w:t>
      </w:r>
    </w:p>
    <w:p>
      <w:r>
        <w:rPr>
          <w:b/>
        </w:rPr>
        <w:t>E. 3.6</w:t>
      </w:r>
    </w:p>
    <w:p>
      <w:r>
        <w:t>Ces infractions sont poursuivies sur plainte. 3.7.1. En l’espèce, les propos contenus dans la lettre de licenciement litigieuse visent la façon dont le recourant a exercé son activité professionnelle et non celui-ci en tant qu’être humain. Or, la réputation professionnelle n’est pas protégée par les art. 173 ss CP. En outre, ladite lettre a été adressée au recourant, à son domicile. Le mis en cause ne s’est ainsi pas adressé à des tiers. Au vu de ce qui précède, le Ministère public était fondé à rendre une ordonnance de non-entrée en matière s’agissant des faits reprochés à C______. 3.7.2. S’agissant de ceux reprochés à B______, le recourant ne les date pas. Il produit toutefois, à l’appui de son recours, un message qui serait daté du 20 juin 2018, dans lequel C______ se serait excusé pour le comportement que le mis en cause aurait eu à l’égard du recourant. La plainte pénale ayant été déposée le 5 septembre 2019, et les infractions dénoncées n’étant poursuivies que sur plainte préalable, les éventuels faits délictueux antérieurs au 5 juin 2019 ne peuvent être poursuivis. En tout état, le recourant – qui n’étaye nullement les intimidations litigieuses –, n'allègue pas avoir été effrayé par ces propos. L'assertion était donc impropre, tant sur le plan objectif que subjectif, à l'alarmer. S’agissant des insultes, le recourant ne les étaye pas non plus. Lors de son audition par la police, le mis en cause a toutefois reconnu avoir insulté le recourant, en réponse à ses propres insultes, ce qui autorise l’application de l’art. 177 al. 2 CP. Dès lors, les actes d’instruction proposés par le recourant ne sont pas propres à modifier ce raisonnement. Justifiée, l’ordonnance querellée sera confirmée.</w:t>
      </w:r>
    </w:p>
    <w:p>
      <w:r>
        <w:rPr>
          <w:b/>
        </w:rPr>
        <w:t>E. 4</w:t>
      </w:r>
    </w:p>
    <w:p>
      <w:r>
        <w:t>Le recourant sollicite l'assistance judiciaire.</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- 10/12 - P/1749/2020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Ces principes s'appliquent aussi lorsque l'assistance judiciaire est sollicitée en réponse à une demande de sûretés, au sens de l'art. 383 al. 1 CPP (ACPR/339/2014 du 16 juillet 2014 ; M. NIGGLI / M. HEER / H. WIPRÄCHTIGER, Schweizerische Strafprozessordnung / Schweizerische Jugendstrafprozessordnung, Basler Kommentar StPO/JStPO, Bâle 2011, n. 2 ad art. 383).</w:t>
      </w:r>
    </w:p>
    <w:p>
      <w:r>
        <w:rPr>
          <w:b/>
        </w:rPr>
        <w:t>E. 4.2</w:t>
      </w:r>
    </w:p>
    <w:p>
      <w:r>
        <w:t>En l'occurrence, le recours était manifestement voué à l'échec, de sorte que la demande d'assistance judiciaire sera rejetée.</w:t>
      </w:r>
    </w:p>
    <w:p>
      <w:r>
        <w:rPr>
          <w:b/>
        </w:rPr>
        <w:t>E. 5</w:t>
      </w:r>
    </w:p>
    <w:p>
      <w:r>
        <w:t>Le recourant, qui succombe, supportera les frais envers l'État, fixés en totalité à CHF 300.- (art. 428 al. 1 CPP et 13 al. 1 du Règlement fixant le tarif des frais en matière pénale, RTFMP ; E 4 10.03), pour tenir compte de sa situation financière précaire, étant relevé qu'il n'y a pas lieu à émolument pour le rejet de la demande d'assistance judiciaire. * * * * *</w:t>
      </w:r>
    </w:p>
    <w:p>
      <w:r>
        <w:t>- 11/12 - P/1749/2020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