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ACPR/36/2026 vom 12. Dezember 2025</w:t>
      </w:r>
    </w:p>
    <w:p>
      <w:r>
        <w:t>GE Cour de justice, 2025-12-12, FR</w:t>
      </w:r>
    </w:p>
    <w:p>
      <w:r>
        <w:rPr>
          <w:b/>
        </w:rPr>
        <w:t xml:space="preserve">Quelle: </w:t>
      </w:r>
      <w:r>
        <w:t>https://mcp.opencaselaw.ch/entscheid/ge_gerichte_ACPR_36_2026</w:t>
      </w:r>
    </w:p>
    <w:p>
      <w:r>
        <w:t>FR: GE_GERICHTE ACPR/36/2026 du 12 décembre 2025</w:t>
      </w:r>
    </w:p>
    <w:p>
      <w:r>
        <w:t>IT: GE_GERICHTE ACPR/36/2026 del 12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- 4/9 - P/28241/2025</w:t>
      </w:r>
    </w:p>
    <w:p>
      <w:r>
        <w:rPr>
          <w:b/>
        </w:rPr>
        <w:t>E. 2</w:t>
      </w:r>
    </w:p>
    <w:p>
      <w:r>
        <w:t>Le recourant soutient que le Ministère public aurait omis de motiver sa décision, en dépit du fait que le formulaire indiquerait "énumérer les antécédents et motiver".</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bel et bien été motivée, le Ministère public y ayant indiqué les raisons l'ayant conduit à ordonner l'établissement du profil d'ADN du recourant, à savoir que ce dernier avait déjà été condamné pour des délits à la loi sur les stupéfiants. Bien que succincte, une telle motivation apparaît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w:t>
      </w:r>
    </w:p>
    <w:p>
      <w:r>
        <w:t>- 5/9 - P/28241/2025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le 29 juin 2021, pour délits contre la loi sur les stupéfiants (art. 19 al. 1 let. c et d LStup) et contravention à cette même loi (art. 19a LStup), son expulsion ayant en outre été prononcée à cette occasion, pour une durée de trois ans. Le 19 décembre 2023, il a été condamné pour rupture de ban (art. 291 CP). Il est enfin poursuivi, dans le cadre de la présente procédure, pour des faits susceptibles d'être constitutifs de délit contre la loi sur les stupéfiants (art. 19 al. 1 let. c LStup), faits pour lesquels il a été condamné par ordonnance pénale du 12 décembre 2025, étant à cet égard précisé que, bien que le recourant ait fait opposition à cette ordonnance, il a admis les faits, à savoir d’avoir vendu, ce jour-là, une boulette de cocaïne. Ces éléments laissent craindre un ancrage dans la délinquance liée aux stupéfiants et permettent de penser que l'intéressé pourrait être, quoiqu’il en dise, impliqué dans d'autres infractions à la LStup encore inconnues des autorités, qui pourraient lui être</w:t>
      </w:r>
    </w:p>
    <w:p>
      <w:r>
        <w:t>- 6/9 - P/28241/2025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w:t>
      </w:r>
    </w:p>
    <w:p>
      <w:r>
        <w:t>- 7/9 - P/28241/2025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Corrélativement, aucun dépens ne lui sera alloué (ATF 144 IV 207, consid. 1.8.2). * * * * *</w:t>
      </w:r>
    </w:p>
    <w:p>
      <w:r>
        <w:t>- 8/9 - P/28241/2025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