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ACPR/36/2021 vom 9. September 2020</w:t>
      </w:r>
    </w:p>
    <w:p>
      <w:r>
        <w:t>GE Cour de justice, 2020-09-09, FR</w:t>
      </w:r>
    </w:p>
    <w:p>
      <w:r>
        <w:rPr>
          <w:b/>
        </w:rPr>
        <w:t xml:space="preserve">Quelle: </w:t>
      </w:r>
      <w:r>
        <w:t>https://mcp.opencaselaw.ch/entscheid/ge_gerichte_ACPR_36_2021</w:t>
      </w:r>
    </w:p>
    <w:p>
      <w:r>
        <w:t>FR: GE_GERICHTE ACPR/36/2021 du 9 septembre 2020</w:t>
      </w:r>
    </w:p>
    <w:p>
      <w:r>
        <w:t>IT: GE_GERICHTE ACPR/36/2021 del 9 settembre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d'un tiers saisi qui, partie à la procédure (art. 105 al. 1 let. f CPP), a qualité pour agir, ayant un</w:t>
      </w:r>
    </w:p>
    <w:p>
      <w:r>
        <w:t>- 9/16 - P/1754/2020 intérêt juridiquement protégé à la modification ou à l'annulation de la décision querellée (art. 105 al. 2 et 382 al. 1 CPP).</w:t>
      </w:r>
    </w:p>
    <w:p>
      <w:r>
        <w:rPr>
          <w:b/>
        </w:rPr>
        <w:t>E. 1.2</w:t>
      </w:r>
    </w:p>
    <w:p>
      <w:r>
        <w:t>Il en va de même des pièces nouvelles produites par l'intimé à l'appui de sa duplique, la jurisprudence admettant la production de faits et de moyens de preuve nouveaux devant l'instance de recours (arrêts du Tribunal fédéral 1B_368/2014 du 5 février 2015 consid. 3.1 et 3.2 et 1B_768/2012 du 15 janvier 2013 consid. 2.1).</w:t>
      </w:r>
    </w:p>
    <w:p>
      <w:r>
        <w:rPr>
          <w:b/>
        </w:rPr>
        <w:t>E. 2</w:t>
      </w:r>
    </w:p>
    <w:p>
      <w:r>
        <w:t>La recourante se plaint d'un défaut de motivation de l'ordonnance entreprise.</w:t>
      </w:r>
    </w:p>
    <w:p>
      <w:r>
        <w:rPr>
          <w:b/>
        </w:rPr>
        <w:t>E. 2.1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w:t>
      </w:r>
    </w:p>
    <w:p>
      <w:r>
        <w:rPr>
          <w:b/>
        </w:rPr>
        <w:t>E. 2.2</w:t>
      </w:r>
    </w:p>
    <w:p>
      <w:r>
        <w:t>En l'espèce, la motivation de l'ordonnance attaquée est, certes, succincte. Elle énonce toutefois les fondements sur lesquels elle repose, à savoir que les conditions au maintien du séquestre ordonné le 6 mai 2020 demeurent remplies en l'état. La recourante a parfaitement saisi la teneur de cette décision, puisqu'elle a été en mesure de la critiquer, dans son acte, sur de nombreuses pages. Le grief est donc infondé.</w:t>
      </w:r>
    </w:p>
    <w:p>
      <w:r>
        <w:rPr>
          <w:b/>
        </w:rPr>
        <w:t>E. 3</w:t>
      </w:r>
    </w:p>
    <w:p>
      <w:r>
        <w:t>La recourante reproche au Ministère public d'avoir constaté les faits de manière erronée.</w:t>
      </w:r>
    </w:p>
    <w:p>
      <w:r>
        <w:rPr>
          <w:b/>
        </w:rPr>
        <w:t>E. 3.1</w:t>
      </w:r>
    </w:p>
    <w:p>
      <w:r>
        <w:t>Selon l'art. 393 al. 2 CPP, les décisions et les actes de procédure du ministère public peuvent faire l'objet d'un recours pour des motifs de violation du droit, de constatation incomplète ou erronée des faits ou d'inopportunité. La constatation des faits est erronée lorsque des pièces du dossier la contredisent ou que l'autorité de recours n'arrive pas à déterminer sur quelles bases et de quelle manière le droit a été appliqué. Elle est incomplète lorsque des faits pourtant pertinents et évoqués par les parties ne figurent pas au dossier (L. MOREILLON / A. PAREIN-REYMOND, Petit commentaire CPP, Bâle 2016, n. 31 ad art. 393 CPP).</w:t>
      </w:r>
    </w:p>
    <w:p>
      <w:r>
        <w:rPr>
          <w:b/>
        </w:rPr>
        <w:t>E. 3.2</w:t>
      </w:r>
    </w:p>
    <w:p>
      <w:r>
        <w:t>En l'espèce, il ressort de la procédure que la recourante a adressé un courrier électronique à la fondation V______ le 17 décembre 2019, sollicitant la délivrance</w:t>
      </w:r>
    </w:p>
    <w:p>
      <w:r>
        <w:t>- 10/16 - P/1754/2020 d'un certificat d'authenticité relatif à l'œuvre litigieuse. Partant, il apparaît que la recourante a acquis l'œuvre, le 2 décembre 2019, sans garantie d'authenticité. En outre, il est établi que la recourante a acheté l'œuvre incriminée pour le prix d'EUR 82'000.-. À en croire l'intimé, dont les déclarations apparaissent crédibles, vu l'état actuel de la procédure, l'œuvre aurait par la suite été mise en vente par la recourante au prix d'EUR 220'000.-. L'importante différence entre ces montants pourrait s'expliquer, entre autres, par la volonté de la recourante de réaliser une grosse plus-value, en toute connaissance d'un prix d'achat trop faible, ou par l'absence de vérification de l'adéquation du prix. En l'état, les éléments au dossier permettent donc de retenir, à l'instar du Ministère public, que la recourante semble ne pas avoir procédé aux vérifications utiles quant à l'adéquation du prix de l'œuvre litigieuse. Il appartiendra au Ministère public d'éclaircir ce point en cours d'instruction. Au vu de ce qui précède, le Ministère public n'a pas constaté des faits de façon erronée, et le grief en ce sens de la recourante est, dès lors, rejeté.</w:t>
      </w:r>
    </w:p>
    <w:p>
      <w:r>
        <w:rPr>
          <w:b/>
        </w:rPr>
        <w:t>E. 4</w:t>
      </w:r>
    </w:p>
    <w:p>
      <w:r>
        <w:t>La recourante conteste le maintien du séquestre de l'œuvre d'art "C______".</w:t>
      </w:r>
    </w:p>
    <w:p>
      <w:r>
        <w:rPr>
          <w:b/>
        </w:rPr>
        <w:t>E. 4.1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w:t>
      </w:r>
    </w:p>
    <w:p>
      <w:r>
        <w:t>- 11/16 - P/1754/2020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Lorsque ces conditions sont réunies, la restitution doit avoir lieu sans égard aux autres créanciers ou lésés (ATF 128 I 129 consid. 3.1.2 p. 132 ss).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arrêt du Tribunal fédéral 1B_3/2014 du 5 février 2014 consid. 3.2 in RtiD 2014 II p. 227).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(arrêts du Tribunal fédéral</w:t>
      </w:r>
    </w:p>
    <w:p>
      <w:r>
        <w:t>- 12/16 - P/1754/2020 1B_222/2015 du 10 novembre 2015 consid. 2.1; 1B_166/2008 du 17 décembre 2008 consid. 4.3). 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l'alinéa 1, il faut que l'ayant droit puisse être retrouvé et que l'objet ou la valeur patrimoniale séquestré ne soit pas revendiqué par plusieurs personnes (Message relatif à l'unification du droit de la procédure pénale du 21 décembre 2005, FF 2006 1228). Selon l'art. 267 al. 2 CPP,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 Kommentar StPO/JStPO, 2e éd. Bâle 2014, n. 29 ad art. 267; N. SCHMID, Schweizerische Strafprozessordnung : Praxiskommentar, Zurich 2009, n. 1 ad art. 267). L'art. 267 al. 2 CPP instaure une exception au principe selon lequel le sort des séquestres pénaux se règle avec la décision sur le fond de l'action publique (M. NIGGLI / M. HEER / H. WIPRÄCHTIGER, op. cit.,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des art. 267 al. 3 à 5 CPP s'applique (FF 2006 1229).</w:t>
      </w:r>
    </w:p>
    <w:p>
      <w:r>
        <w:rPr>
          <w:b/>
        </w:rPr>
        <w:t>E. 4.2</w:t>
      </w:r>
    </w:p>
    <w:p>
      <w:r>
        <w:t>En l'espèce, la recourante a acquis le tableau litigieux sans le moindre certificat d'authenticité, et ce, consciemment, puisqu'elle est une professionnelle du marché de l'art. L'importation temporaire de l'œuvre ne se concilie pas avec une volonté de l'aliéner en Suisse, comme cela fut apparemment le cas. En outre, le nouveau document douanier établi au Tessin – sur requête de la recourante – mentionne faussement la Grande-Bretagne comme lieu d'origine et de destination définitive de l'œuvre : cette indication trompeuse, ou à tout le moins erronée, constitue un indice d'une possible mauvaise foi de la recourante. Par ailleurs, K______, représentant de la recourante, savait, selon ses propres déclarations à la police tessinoise du 15 janvier 2020, que l'œuvre litigieuse appartenait à L______. À cet égard, les arguments développés par la recourante pour la première fois dans sa réplique, selon lesquels le tableau visé par ces déclarations était en réalité une autre œuvre de D______, soit "Y______", n'emportent pas la conviction. Dès lors, il est surprenant que la recourante n'ait pas contacté L______ pour s'assurer que le tableau incriminé, proposé à la vente par I______ Sàrl, était réellement à vendre. L'intervention de R______ Ltd dans la transaction n'y change</w:t>
      </w:r>
    </w:p>
    <w:p>
      <w:r>
        <w:t>- 13/16 - P/1754/2020 rien. En effet, à ce stade, cette offshore semble être intervenue sous le contrôle exclusif de O______, laquelle avait personnellement suggéré sa création à l'intimé, en était l'administratrice et bénéficiait au surplus de la mainmise sur son compte bancaire auprès de Q______ SA. L'intimé apparaît donc n'avoir pris aucune part active dans l'intervention de R______ Ltd, dont en particulier l'encaissement du montant de la vente du tableau et la facturation y relative. À cela s'ajoute un doute sérieux sur la valeur réelle de l'œuvre incriminée, de sorte que le prix d'EUR 82'000.- déboursé par la recourante ne peut, en l'état, pas être considéré comme une contre-prestation adéquate. Vu ce qui précède, la bonne foi de la recourante dans le cadre de l'acquisition de l'œuvre litigieuse ne peut, en l'état, être tenue pour acquise. Il appartiendra donc au Ministère public d'établir précisément si la recourante était dans l'ignorance des faits à l'origine de la présente procédure, quel a été son rôle dans la vente incriminée et quel aurait été le prix conforme au marché de l'œuvre. Les mois écoulés depuis le prononcé du séquestre par le Ministère public tessinois ne constituent nullement une durée disproportionnée, compte tenu, outre les motifs sus- évoqués, de la fixation de for et de la reprise, par les autorités pénales genevoises, de la procédure, qui ne fait que débuter et comporte, au demeurant, un caractère international. Toujours sous l'angle de la proportionnalité, l'on ne saurait suivre la recourante, en tant qu'elle affirme subir un dommage. En effet, active dans le commerce d'œuvres d'art, elle ne saurait soutenir que la privation, ou la perte de disponibilité, simultanée du tableau et du prix payé par elle mettent en danger sa situation économique. Elle n'étaye d'ailleurs en rien ses allégations à ce sujet. Ses activités commerciales ou sa survie économique ne sont donc pas mises en péril par le maintien du séquestre, et l'intérêt de la procédure pénale à la conservation de tout moyen de preuve ou d'objet sujet à confiscation ou restitution, ainsi qu'à la manifestation de la vérité l'emportent sur celui de la recourante à se voir restituer l'œuvre litigieuse. Par conséquent, les conditions au maintien du séquestre, tant à titre probatoire que conservatoire, sont remplies et c'est à bon droit que le Ministère public a refusé sa levée.</w:t>
      </w:r>
    </w:p>
    <w:p>
      <w:r>
        <w:rPr>
          <w:b/>
        </w:rPr>
        <w:t>E. 5</w:t>
      </w:r>
    </w:p>
    <w:p>
      <w:r>
        <w:t>Justifiée, l'ordonnance querellée sera donc confirmée.</w:t>
      </w:r>
    </w:p>
    <w:p>
      <w:r>
        <w:rPr>
          <w:b/>
        </w:rPr>
        <w:t>E. 6</w:t>
      </w:r>
    </w:p>
    <w:p>
      <w:r>
        <w:t>La recourante, qui succombe, supportera les frais envers l'État, fixés en totalité à CHF 1'500.-, émolument de décision compris (art. 428 al. 1 CPP et 13 al. 1 du Règlement fixant le tarif des frais en matière pénale, RTFMP; E 4 10.03).</w:t>
      </w:r>
    </w:p>
    <w:p>
      <w:r>
        <w:t>- 14/16 - P/1754/2020</w:t>
      </w:r>
    </w:p>
    <w:p>
      <w:r>
        <w:rPr>
          <w:b/>
        </w:rPr>
        <w:t>E. 7</w:t>
      </w:r>
    </w:p>
    <w:p>
      <w:r>
        <w:t>Il ne sera pas entré en matière sur la demande d'indemnisation de B______, qui s'est contenté d'en différer le chiffrage. Considéré comme partie plaignante, l'intimé était tenu, à peine de forclusion, de chiffrer et justifier ses prétentions (art. 433 al. 2, 2e phrase, CPP). Représenté par avocat, il ne pouvait ignorer ces conditions légales (cf. arrêt du Tribunal fédéral 6B_1345/2016 du 30 novembre 2017 consid. 7.2.; ACPR/442/2018 du 13 août 2018 consid. 11). * * * * *</w:t>
      </w:r>
    </w:p>
    <w:p>
      <w:r>
        <w:t>- 15/16 -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