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ACPR/36/2020 vom 22. Juli 2019</w:t>
      </w:r>
    </w:p>
    <w:p>
      <w:r>
        <w:t>GE Cour de justice, 2019-07-22, FR</w:t>
      </w:r>
    </w:p>
    <w:p>
      <w:r>
        <w:rPr>
          <w:b/>
        </w:rPr>
        <w:t xml:space="preserve">Quelle: </w:t>
      </w:r>
      <w:r>
        <w:t>https://mcp.opencaselaw.ch/entscheid/ge_gerichte_ACPR_36_2020</w:t>
      </w:r>
    </w:p>
    <w:p>
      <w:r>
        <w:t>FR: GE_GERICHTE ACPR/36/2020 du 22 juillet 2019</w:t>
      </w:r>
    </w:p>
    <w:p>
      <w:r>
        <w:t>IT: GE_GERICHTE ACPR/36/2020 del 22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ouvert une instruction pour escroquerie.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Commet un abus de confiance, au sens de l'art. 138 ch. 1 al. 1 CP, celui qui, pour se procurer ou pour procurer à un tiers un enrichissement illégitime, se sera approprié une chose mobilière appartenant à autrui et qui lui avait été confiée. L'acte d'appropriation signifie tout d'abord que l'auteur incorpore économiquement la chose ou la valeur de la chose à son propre patrimoine, pour la conserver, la consommer ou pour l'aliéner ; il dispose alors d'une chose comme propriétaire, sans</w:t>
      </w:r>
    </w:p>
    <w:p>
      <w:r>
        <w:t>- 10/14 - P/6996/2018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w:t>
      </w:r>
    </w:p>
    <w:p>
      <w:r>
        <w:rPr>
          <w:b/>
        </w:rPr>
        <w:t>E. 3.3</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w:t>
      </w:r>
    </w:p>
    <w:p>
      <w:r>
        <w:t>- 11/14 - P/6996/2018</w:t>
      </w:r>
    </w:p>
    <w:p>
      <w:r>
        <w:rPr>
          <w:b/>
        </w:rPr>
        <w:t>E. 3.4</w:t>
      </w:r>
    </w:p>
    <w:p>
      <w:r>
        <w:t>En l'espèce, c'est à raison que le Ministère public a conclu que le recourant n'avait pas été trompé, au sens de la disposition précitée, sur la valeur du véhicule E______, dès lors qu'il lui appartenait de procéder aux vérifications simples et usuelles qui lui auraient permis de déterminer rapidement sa valeur approximative. Il lui a d'ailleurs suffi de montrer la voiture à son ami N______, pour que celui-ci ait un doute et la montre à un collègue garagiste, lequel l'aurait, d'emblée, évaluée à environ CHF 12'000.-. La confiance que le mis en cause inspirait au recourant n'était pas de nature à empêcher celui-ci de demander un avis sur la valeur du véhicule qu'il s'apprêtait à acquérir. Quant aux circonstances ayant entouré l'achat avorté du véhicule de marque I______, force est de constater que, indépendamment de savoir quelle somme le recourant a réellement remise au mis en cause, rien au dossier ne permet de conclure qu'il aurait été victime d'une escroquerie. Ni les échanges de messages R______ – dont la production sous forme recopiée, et non de captures d'écran, est contestable, mais qui seront pris en considération dès lors que le plaignant lui-même s'en prévaut – ni les déclarations des témoins ne permettent de retenir que le mis en cause aurait, par des affirmations fallacieuses, la dissimulation de faits ou des manœuvres frauduleuses, amené le recourant à lui verser CHF 56'000.- en lui faisant faussement croire qu'ils étaient destinés à l'achat d'un véhicule alors qu'il aurait d'emblée eu l'intention de les conserver par-devers lui. Si le recourant manquait peut-être d'expérience en raison de son jeune âge, cela ne le dispensait pas de faire preuve de la prudence élémentaire, par exemple en faisant signer un reçu à la personne à laquelle il remettait des sommes d'argent importantes. On ne voit pas non plus comment le mis en cause aurait pu empêcher le recourant de verser directement le prix de vente au garage. Le recourant connaissait les vendeurs, avait essayé le véhicule et avait finalement, selon ses messages au mis en cause, contacté le garage pour vérifier si la vente avait été annulée, ce qui témoigne de sa capacité à agir. Il apparaît bien plutôt des messages R______, ainsi que de la déclaration du témoin P______, que le recourant avait agi à l'insu de sa mère et que le mis en cause souhaitait que celle-ci soit, à tout le moins lors de la réunion du 19 octobre 2017, informée de la situation. Le mis en cause a plusieurs fois invité le recourant à dire la vérité à sa mère. Après la réunion susmentionnée, le recourant et le mis en cause ont échangé des messages cordiaux, sans que la restitution de la somme due ne soit plus mentionnée. Si la mère du recourant allègue que le mis en cause aurait plusieurs fois refusé de signer une reconnaissance de dette, il a fini par le faire. Or, à bien comprendre le recourant, il reproche au mis en cause d'avoir signé la reconnaissance de dette pour un montant inférieur à celui qui lui serait dû, et de refuser de payer la différence. Si tel est le cas, ce comportement n'est, en soi, pas astucieux. De surcroît, la mère du recourant avait préparé une reconnaissance de dette, sur la base des déclarations de son fils, et elle n'a pas déclaré que "l'échéancier" finalement signé n'aurait pas correspondu à la somme qui avait été discutée. Il n'existe ainsi pas d'éléments permettant de soupçonner que le mis en cause aurait, par des manœuvres astucieuses, déterminé le recourant à lui verser CHF 56'000.- (CHF 45'000.- pour la I______ et CHF 11'000.-</w:t>
      </w:r>
    </w:p>
    <w:p>
      <w:r>
        <w:t>- 12/14 - P/6996/2018 pour la E______) pour finalement ne reconnaître, tout aussi astucieusement, lui devoir que CHF 31'000.-. La même conclusion s'impose à l'égard de l'abus de confiance allégué. La remise d'argent, sans reçu, entre le recourant et le mis en cause est intervenue sans témoin. Le recourant allègue avoir remis CHF 56'000.- au mis en cause, pour l'achat d'une I______, somme que ce dernier n'aurait pas employée à cet effet. Le mis en cause allègue, lui, un prêt de CHF 30'000.-, plus CHF 1'000.- d'intérêts. Les témoins ayant assisté à l'entrevue du 19 octobre 2017 ne permettent pas d'accréditer le montant avancé par le recourant et les messages produits par lui non plus. Le mis en cause ne reconnaît en effet pas la somme avancée par son interlocuteur (soit CHF 10'000.- + CHF 46'000.-), lui répondant : "A______ tu sais très bien combien tu m'as donné. Arrête ça stpl.!!! C'est bon j'ai compris. On fera comme tu voudras". Mais, surtout, la mère du recourant, qui a déclaré avoir repris l'affaire en mains après avoir appris la remise d'argent sans reçu, a fait signer à l'intéressé une reconnaissance de dettes portant sur CHF 31'000.-. Dans ces circonstances, on ne voit pas quel acte d'instruction serait de nature à apporter des éléments probants. Les témoins ont déjà été entendus et les parties camperaient très vraisemblablement sur leurs positions. La production de la comptabilité de la société appartenant au mis en cause n'est pas de nature à modifier le constat précité, et le recourant n'explique d'ailleurs pas en quoi cet acte d'instruction serait utile. En tout état, rien n'indique que le mis en cause aurait versé les sommes reçues du recourant sur le compte de sa société. Et, même dans cette hypothèse, cet élément permettrait seulement de renseigner sur la somme reçue – et cas échéant due par le mise en cause –, mais pas sur l'existence d'une infraction au patrimoine. Que les gendarmes ayant mené l'enquête préliminaire soient parvenus à une conclusion différente de celle du Ministère public n'est pas probant, pas plus que l'invitation faite par le Ministère public au recourant de chiffrer ses prétentions sur la base de l'art. 433 CPP. Partant, si le Ministère public a retenu à tort que les conditions de l'art. 53 CP étaient réalisées, il a conclu a bon droit que le litige était d'ordre civil.</w:t>
      </w:r>
    </w:p>
    <w:p>
      <w:r>
        <w:rPr>
          <w:b/>
        </w:rPr>
        <w:t>E. 4</w:t>
      </w:r>
    </w:p>
    <w:p>
      <w:r>
        <w:t>Justifiée, l'ordonnance querellée sera donc confirmée, par substitution de motifs.</w:t>
      </w:r>
    </w:p>
    <w:p>
      <w:r>
        <w:rPr>
          <w:b/>
        </w:rPr>
        <w:t>E. 5</w:t>
      </w:r>
    </w:p>
    <w:p>
      <w:r>
        <w:t>Le recourant, qui succombe, supportera les frais envers l'État, qui seront fixés en totalité à CHF 800.- (art. 428 al. 1 CPP et 13 al. 1 du Règlement fixant le tarif des frais en matière pénale, RTFMP ; E 4 10.03). * * * * *</w:t>
      </w:r>
    </w:p>
    <w:p>
      <w:r>
        <w:t>- 13/14 - P/6996/2018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