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ACPR/369/2022 vom 24. Mai 2022</w:t>
      </w:r>
    </w:p>
    <w:p>
      <w:r>
        <w:t>GE Cour de justice, 2022-05-24, FR</w:t>
      </w:r>
    </w:p>
    <w:p>
      <w:r>
        <w:rPr>
          <w:b/>
        </w:rPr>
        <w:t xml:space="preserve">Quelle: </w:t>
      </w:r>
      <w:r>
        <w:t>https://mcp.opencaselaw.ch/entscheid/ge_gerichte_ACPR_369_2022</w:t>
      </w:r>
    </w:p>
    <w:p>
      <w:r>
        <w:t>FR: GE_GERICHTE ACPR/369/2022 du 24 mai 2022</w:t>
      </w:r>
    </w:p>
    <w:p>
      <w:r>
        <w:t>IT: GE_GERICHTE ACPR/369/2022 del 24 maggio 2022</w:t>
      </w:r>
    </w:p>
    <w:p>
      <w:pPr>
        <w:pStyle w:val="Heading2"/>
      </w:pPr>
      <w:r>
        <w:t>Erwägungen</w:t>
      </w:r>
    </w:p>
    <w:p>
      <w:r>
        <w:rPr>
          <w:b/>
        </w:rPr>
        <w:t>E. 27</w:t>
      </w:r>
    </w:p>
    <w:p>
      <w:r>
        <w:t>avril 2022 que celui-ci a véritablement atteint sa destinataire, qui dit ne pas l'avoir reçu; - partant, il sera fait droit à la demande de restitution de délai, formée en temps utile, et un ultime délai – non prolongeable – de cinq jours à réception du présent arrêt sera imparti à la recourante pour motiver son recours; - le présent arrêt est rendu sans frais.</w:t>
      </w:r>
    </w:p>
    <w:p>
      <w:r>
        <w:t>* * * * *</w:t>
      </w:r>
    </w:p>
    <w:p>
      <w:r>
        <w:t>- 4/4 - P/538/0222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