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ACPR/368/2024 vom 22. September 2023</w:t>
      </w:r>
    </w:p>
    <w:p>
      <w:r>
        <w:t>GE Cour de justice, 2023-09-22, FR</w:t>
      </w:r>
    </w:p>
    <w:p>
      <w:r>
        <w:rPr>
          <w:b/>
        </w:rPr>
        <w:t xml:space="preserve">Quelle: </w:t>
      </w:r>
      <w:r>
        <w:t>https://mcp.opencaselaw.ch/entscheid/ge_gerichte_ACPR_368_2024</w:t>
      </w:r>
    </w:p>
    <w:p>
      <w:r>
        <w:t>FR: GE_GERICHTE ACPR/368/2024 du 22 septembre 2023</w:t>
      </w:r>
    </w:p>
    <w:p>
      <w:r>
        <w:t>IT: GE_GERICHTE ACPR/368/2024 del 22 settembre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s'oppose au classement de la procédure.</w:t>
      </w:r>
    </w:p>
    <w:p>
      <w:r>
        <w:rPr>
          <w:b/>
        </w:rPr>
        <w:t>E. 3.1</w:t>
      </w:r>
    </w:p>
    <w:p>
      <w:r>
        <w:t>L'art. 319 al. 1 CPP prévoit que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au principe "in dubio pro duriore", selon lequel un classement ne peut être prononcé que si la situation factuelle et juridique est claire. Le ministère public et l'autorité de recours disposent, dans ce cadre, d'un pouvoir d'appréciation (arrêt du Tribunal fédéral 6B_33/2021 du 12 juillet 2021 consid. 2).</w:t>
      </w:r>
    </w:p>
    <w:p>
      <w:r>
        <w:t>- 9/11 - P/22913/2021</w:t>
      </w:r>
    </w:p>
    <w:p>
      <w:r>
        <w:rPr>
          <w:b/>
        </w:rPr>
        <w:t>E. 3.2</w:t>
      </w:r>
    </w:p>
    <w:p>
      <w:r>
        <w:t>À teneur de l'art. 314 al. 1 let. a CPP, le Ministère public peut suspendre une instruction, notamment, lorsque l’auteur ou son lieu de séjour est inconnu ou qu’il existe des empêchements momentanés de procéder.</w:t>
      </w:r>
    </w:p>
    <w:p>
      <w:r>
        <w:rPr>
          <w:b/>
        </w:rPr>
        <w:t>E. 3.3</w:t>
      </w:r>
    </w:p>
    <w:p>
      <w:r>
        <w:t>Lorsqu'il existe un obstacle temporaire à la poursuite de l'instruction, le ministère public peut, soit suspendre la procédure (art. 314 CPP), soit clore celle-ci (arrêt du Tribunal fédéral 6B_638/2021 du 17 août 2022 consid. 2.1.2). Dans ce dernier cas de figure, le classement doit être rendu en application de l'art. 319 al. 1 let. a CPP (absence de soupçon(s) suffisant(s) justifiant une mise en accusation du prévenu), de façon à permettre une reprise de la cause (art. 323 CPP) en cas d'évolution de la situation (ACPR/136/2024 du 22 février 2024 consid. 3.1.1; ACPR/342/2023 du 10 mai 2023, consid. 2.2 et ACPR/167/2022 du 8 mars 2022, consid. 7.1).</w:t>
      </w:r>
    </w:p>
    <w:p>
      <w:r>
        <w:rPr>
          <w:b/>
        </w:rPr>
        <w:t>E. 3.4</w:t>
      </w:r>
    </w:p>
    <w:p>
      <w:r>
        <w:t>En l'espèce, il n'est pas contesté que les éléments constitutifs de l'infraction d'agression (art. 134 CP) sont réalisés. Force est cependant de constater que les informations recueillies dans le cadre des investigations menées par la police, et celles du recourant, n'ont pas permis d'établir l'identité du ou des auteur(s) des actes dénoncés. Il ressort du dossier que le Ministère public a entrepris plusieurs actes d'enquête – ayant notamment adressé des ordres de dépôt à Q______, où l'un des agresseurs présumés du recourant travaillerait prétendument – pour tenter d'identifier le ou les auteur(s) de l'infraction, mais sans succès. Les recherches menées par la police – laquelle a mené son enquête sur la base, notamment, de l'intégralité des informations fournies par le recourant – sont également restées vaines. En l'état, on ne discerne pas quel acte d'instruction complémentaire permettrait d'obtenir un résultat différent. Le recourant estime que le visionnage des images de vidéosurveillance du quartier C______ permettrait de confondre le ou les auteur(s) de son agression. Cela étant, il ressort du dossier que des demandes avaient été effectuées par la police auprès du restaurateur et de la CVP à l'époque des faits, mais qu'aucune image de vidéosurveillance des lieux n'avait pu être recueillie. Le recourant ne propose aucun autre acte d'instruction raisonnable, ni réalisable, qui serait en mesure de faire avancer l'instruction, les autres investigations demandées apparaissant non seulement très aléatoires, mais également disproportionnées. On ne saurait en effet exiger de la police qu'elle se rende fréquemment sur les lieux des faits dénoncés, étant précisé que cette mesure d'instruction devrait être menée sur la base de simples allégations du recourant, lequel soutient, sans preuve, que ses agresseurs s'y rendraient régulièrement. On ne voit pas non plus en quoi la diffusion de la photographie – de qualité floue et produite par le recourant plus d'un an après son</w:t>
      </w:r>
    </w:p>
    <w:p>
      <w:r>
        <w:t>- 10/11 - P/22913/2021 obtention – de l'un de ses agresseurs présumés aux patrouilles de police du quartier C______ permettrait d'appréhender celui-ci plus de deux ans et demi après les faits, étant précisé qu'il n'est pas démontré que l'intéressé fréquenterait, qui plus est couramment, le quartier concerné. Au surplus, il convient de relever, à l'instar du Ministère public, que des investigations ont déjà été menées par la police sur la base d'autres photographies transmises par le recourant – sur lesquels figuraient prétendument l'un des auteurs de son agression –, mais qu'il s'est avéré que la personne photographiée n'était pas impliquée dans les évènements dénoncés. Il ne peut donc être exclu que l'homme apparaissant sur la photographie dont le recourant souhaite la diffusion ne soit pas lié aux faits litigieux. Dans ces circonstances, c'est avec raison que le Ministère public a considéré que l'enquête menée par la police n'avait pas donné de résultats probants et qu'aucune investigation supplémentaire ne paraissait susceptible de conduire à l'identification et à l'interpellation du ou des auteur(s) des évènements dénoncés. Il sied de préciser que la procédure pourra toujours être reprise en cas de moyens de preuve ou de faits nouveaux déterminants, le Ministère public ayant d'ailleurs expressément réservé cette hypothèse dans sa décision. L'ordonnance querellée ne prête dès lors pas le flanc à la critique.</w:t>
      </w:r>
    </w:p>
    <w:p>
      <w:r>
        <w:rPr>
          <w:b/>
        </w:rPr>
        <w:t>E. 4</w:t>
      </w:r>
    </w:p>
    <w:p>
      <w:r>
        <w:t>Justifiée, elle sera donc confirmée.</w:t>
      </w:r>
    </w:p>
    <w:p>
      <w:r>
        <w:rPr>
          <w:b/>
        </w:rPr>
        <w:t>E. 5</w:t>
      </w:r>
    </w:p>
    <w:p>
      <w:r>
        <w:t>Le recourant, au bénéfice de l'assistance juridique gratuite, est exonéré des frais de la procédure de recours (art. 136 al. 2 let. b CPP).</w:t>
      </w:r>
    </w:p>
    <w:p>
      <w:r>
        <w:rPr>
          <w:b/>
        </w:rPr>
        <w:t>E. 6</w:t>
      </w:r>
    </w:p>
    <w:p>
      <w:r>
        <w:t>La procédure étant close (art. 135 al. 2 CPP), il convient de fixer l'indemnisation du conseil juridique gratuit en deuxième instance.</w:t>
      </w:r>
    </w:p>
    <w:p>
      <w:r>
        <w:rPr>
          <w:b/>
        </w:rPr>
        <w:t>E. 6.1</w:t>
      </w:r>
    </w:p>
    <w:p>
      <w:r>
        <w:t>À teneur de l'art. 135 al. 1 CPP, applicable par le renvoi de l'art. 138 CPP, le conseil juridique gratuit est indemnisé conformément au tarif des avocats de la Confédération ou du canton du for du procès. À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6.2</w:t>
      </w:r>
    </w:p>
    <w:p>
      <w:r>
        <w:t>En l'occurrence, le conseil du recourant n'a pas chiffré ni justifié son activité. Eu égard au travail accompli, soit un recours de 8 pages et demie (pages de garde et conclusions comprises, dont environ 5 pages de discussion juridique), un montant de CHF 753.90 lui sera alloué, correspondant à 3h30 heures d'activité au tarif horaire de CHF 200.-, TVA à 7.7 % incluse (taux applicable jusqu'au 31 décembre 2023). * * * * *</w:t>
      </w:r>
    </w:p>
    <w:p>
      <w:r>
        <w:t>- 11/11 - P/22913/2021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