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ACPR/368/2023 vom 20. Dezember 2022</w:t>
      </w:r>
    </w:p>
    <w:p>
      <w:r>
        <w:t>GE Cour de justice, 2022-12-20, FR</w:t>
      </w:r>
    </w:p>
    <w:p>
      <w:r>
        <w:rPr>
          <w:b/>
        </w:rPr>
        <w:t xml:space="preserve">Quelle: </w:t>
      </w:r>
      <w:r>
        <w:t>https://mcp.opencaselaw.ch/entscheid/ge_gerichte_ACPR_368_2023</w:t>
      </w:r>
    </w:p>
    <w:p>
      <w:r>
        <w:t>FR: GE_GERICHTE ACPR/368/2023 du 20 décembre 2022</w:t>
      </w:r>
    </w:p>
    <w:p>
      <w:r>
        <w:t>IT: GE_GERICHTE ACPR/368/2023 del 20 dicembre 2022</w:t>
      </w:r>
    </w:p>
    <w:p>
      <w:pPr>
        <w:pStyle w:val="Heading2"/>
      </w:pPr>
      <w:r>
        <w:t>Erwägungen</w:t>
      </w:r>
    </w:p>
    <w:p>
      <w:r>
        <w:rPr>
          <w:b/>
        </w:rPr>
        <w:t>E. 3</w:t>
      </w:r>
    </w:p>
    <w:p>
      <w:r>
        <w:t>Fondé, le recours doit être admis.</w:t>
      </w:r>
    </w:p>
    <w:p>
      <w:r>
        <w:rPr>
          <w:b/>
        </w:rPr>
        <w:t>E. 3.3</w:t>
      </w:r>
    </w:p>
    <w:p>
      <w:r>
        <w:t>et ACPR/320/2018 du 6 juin 2018 consid. 8.2).</w:t>
      </w:r>
    </w:p>
    <w:p>
      <w:r>
        <w:rPr>
          <w:b/>
        </w:rPr>
        <w:t>E. 4</w:t>
      </w:r>
    </w:p>
    <w:p>
      <w:r>
        <w:t>L'admission du recours ne donnera pas lieu à la perception de frais (art. 428 al. 1 CPP)</w:t>
      </w:r>
    </w:p>
    <w:p>
      <w:r>
        <w:t>- 10/11 - P/24863/2021</w:t>
      </w:r>
    </w:p>
    <w:p>
      <w:r>
        <w:rPr>
          <w:b/>
        </w:rPr>
        <w:t>E. 5</w:t>
      </w:r>
    </w:p>
    <w:p>
      <w:r>
        <w:t>Le recourant, prévenu, obtient gain de cause et a droit à une indemnité pour ses frais de défense (art. 436 al. 1 cum 429 al. 1 let. a CPP).</w:t>
      </w:r>
    </w:p>
    <w:p>
      <w:r>
        <w:rPr>
          <w:b/>
        </w:rPr>
        <w:t>E. 5.1</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Les honoraires d'avocat se calculent selon le tarif usuel du barreau applicable dans le canton où la procédure se déroule (ATF 142 IV 163 consid. 3.1.2). À Genève, la Cour de justice retient un tarif horaire de CHF 450.- pour un chef d'étude, lorsque ce conseil chiffre sa rémunération à ce taux, CHF 350.- pour un collaborateur et CHF 150.- pour un avocat stagiaire (ACPR 889/2021 du 16 décembre 2021, consid.</w:t>
      </w:r>
    </w:p>
    <w:p>
      <w:r>
        <w:rPr>
          <w:b/>
        </w:rPr>
        <w:t>E. 5.2</w:t>
      </w:r>
    </w:p>
    <w:p>
      <w:r>
        <w:t>En l'occurrence, le recourant conclut à l'octroi d'une indemnité de CHF 2'045.85 correspondant à 7h35 d'activité soit 7h05 pour l'écriture de recours (6h05 pour l'avocat-stagiaire à CHF 250.- de l'heure et 1h pour le collaborateur à CHF 400.- de l'heure) et 0h30 pour le courrier au client (avocat-stagiaire à CHF 250.- de l'heure). Ce montant apparaît toutefois excessif compte tenu des écritures (recours de douze pages, dont une de garde, une de dispositif de l'ordonnance querellée, une et demi de conclusions et sept pages de développements juridiques, ainsi qu'une page et demi de réplique), de sorte que l'indemnité sera ramenée à CHF 1'325.- TTC (la TVA ne s'applique pas au vu du domicile du recourant à l'étranger) correspondant à 5h d'activité pour l'avocat-stagiaire (CHF 750.-), 1h pour le collaborateur (CHF 350.-), ainsi que 0h30 pour l'associé (CHF 225.-), au tarif précité appliqué par la Cour de justice, pour la procédure de recours. * * * * *</w:t>
      </w:r>
    </w:p>
    <w:p>
      <w:r>
        <w:t>- 11/11 - P/24863/2021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