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ACPR/368/2019 vom 16. Januar 2019</w:t>
      </w:r>
    </w:p>
    <w:p>
      <w:r>
        <w:t>GE Cour de justice, 2019-01-16, FR</w:t>
      </w:r>
    </w:p>
    <w:p>
      <w:r>
        <w:rPr>
          <w:b/>
        </w:rPr>
        <w:t xml:space="preserve">Quelle: </w:t>
      </w:r>
      <w:r>
        <w:t>https://mcp.opencaselaw.ch/entscheid/ge_gerichte_ACPR_368_2019</w:t>
      </w:r>
    </w:p>
    <w:p>
      <w:r>
        <w:t>FR: GE_GERICHTE ACPR/368/2019 du 16 janvier 2019</w:t>
      </w:r>
    </w:p>
    <w:p>
      <w:r>
        <w:t>IT: GE_GERICHTE ACPR/368/2019 del 16 gennaio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93 CPP, une partie est défaillante si elle n'accomplit pas un acte de procédure à temps.</w:t>
      </w:r>
    </w:p>
    <w:p>
      <w:r>
        <w:t>- 4/6 - P/23789/2016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3.2</w:t>
      </w:r>
    </w:p>
    <w:p>
      <w:r>
        <w:t>En l'espèce, la recourante expose n'avoir pas agi "tout de suite" – par quoi l'on doit comprendre dans le délai légal d'opposition – car elle était "perdue" et que sa mémoire était "confuse". Elle n'explique toutefois pas, par là, en quoi elle aurait été empêchée sans sa faute de relever son courrier ou le faire relever à sa place, ni d'agir par elle-même dans le délai d'opposition ou à tout le moins de faire appel à l'aide d'une autre personne pour agir en son nom. Ses explications sont insuffisantes pour retenir un empêchement, objectif ou subjectif, et elle n'a produit aucun document, même après l'échéance du délai de recours, propre à étayer ses allégations, étant relevé que la personne qui invoque un empêchement non fautif doit en principe déjà rendre celui-ci vraisemblable dans sa demande de restitution de délai. Le recours doit dès lors être rejeté, sans que la Chambre de céans n'aie à examiner le fond du litige.</w:t>
      </w:r>
    </w:p>
    <w:p>
      <w:r>
        <w:rPr>
          <w:b/>
        </w:rPr>
        <w:t>E. 4</w:t>
      </w:r>
    </w:p>
    <w:p>
      <w:r>
        <w:t>Justifiée, l'ordonnance querellée sera donc confirmée.</w:t>
      </w:r>
    </w:p>
    <w:p>
      <w:r>
        <w:rPr>
          <w:b/>
        </w:rPr>
        <w:t>E. 5</w:t>
      </w:r>
    </w:p>
    <w:p>
      <w:r>
        <w:t>La recourante, qui succombe, supportera les frais envers l'État, qui comprendront un émolument de CHF 600.- (art. 428 al. 1 CPP et 13 al. 1 du Règlement fixant le tarif des frais en matière pénale, RTFMP ; E 4 10.03). * * * * *</w:t>
      </w:r>
    </w:p>
    <w:p>
      <w:r>
        <w:t>- 5/6 - P/23789/2016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