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ACPR/365/2025 vom 4. Februar 2025</w:t>
      </w:r>
    </w:p>
    <w:p>
      <w:r>
        <w:t>GE Cour de justice, 2025-02-04, FR</w:t>
      </w:r>
    </w:p>
    <w:p>
      <w:r>
        <w:rPr>
          <w:b/>
        </w:rPr>
        <w:t xml:space="preserve">Quelle: </w:t>
      </w:r>
      <w:r>
        <w:t>https://mcp.opencaselaw.ch/entscheid/ge_gerichte_ACPR_365_2025</w:t>
      </w:r>
    </w:p>
    <w:p>
      <w:r>
        <w:t>FR: GE_GERICHTE ACPR/365/2025 du 4 février 2025</w:t>
      </w:r>
    </w:p>
    <w:p>
      <w:r>
        <w:t>IT: GE_GERICHTE ACPR/365/2025 del 4 febbraio 2025</w:t>
      </w:r>
    </w:p>
    <w:p>
      <w:pPr>
        <w:pStyle w:val="Heading2"/>
      </w:pPr>
      <w:r>
        <w:t>Erwägungen</w:t>
      </w:r>
    </w:p>
    <w:p>
      <w:r>
        <w:rPr>
          <w:b/>
        </w:rPr>
        <w:t>E. 1</w:t>
      </w:r>
    </w:p>
    <w:p>
      <w:r>
        <w:t>Le recours est recevable pour avoir été interjeté selon la forme et dans le délai prescrits (art. 385 al. 1 et 396 al. 1 CPP), concerner des points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mise à sa charge des frais liés au classement de la procédure pénale et partant, le refus d'indemnisation.</w:t>
      </w:r>
    </w:p>
    <w:p>
      <w:r>
        <w:rPr>
          <w:b/>
        </w:rPr>
        <w:t>E. 2.1</w:t>
      </w:r>
    </w:p>
    <w:p>
      <w:r>
        <w:t>Aux termes de l'art. 429 al. 1 CPP, le prévenu acquitté totalement ou en partie ou au bénéfice d'un classement a droit à une indemnité fixée conformément au tarif des avocats, pour les dépenses occasionnées par l’exercice raisonnable de ses droits de procédure; les tarifs des avocats n’opèrent aucune distinction entre l’indemnité allouée et les honoraires dus en cas de défense privée (let. a); une indemnité pour le dommage économique subi au titre de sa participation obligatoire à la procédure pénale (let. b); une réparation du tort moral subi en raison d’une atteinte particulièrement grave à sa personnalité, notamment en cas de privation de liberté (let. c).</w:t>
      </w:r>
    </w:p>
    <w:p>
      <w:r>
        <w:t>- 6/10 - P/9789/2024</w:t>
      </w:r>
    </w:p>
    <w:p>
      <w:r>
        <w:rPr>
          <w:b/>
        </w:rPr>
        <w:t>E. 2.2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2.1).</w:t>
      </w:r>
    </w:p>
    <w:p>
      <w:r>
        <w:rPr>
          <w:b/>
        </w:rPr>
        <w:t>E. 2.3</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arrêt du Tribunal fédéral 6B_1040/2022 du 23 août 2023 consid. 5.1.2).</w:t>
      </w:r>
    </w:p>
    <w:p>
      <w:r>
        <w:rPr>
          <w:b/>
        </w:rPr>
        <w:t>E. 2.4</w:t>
      </w:r>
    </w:p>
    <w:p>
      <w:r>
        <w:t>En l'espèce, la procédure contre le recourant a été ouverte notamment parce qu'il était soupçonné d'avoir, le 19 avril 2024, asséné un ou des coups à son épouse, lui causant un hématome au niveau de l'œil droit de même que, potentiellement, une perforation du tympan. L'intéressé a confirmé, lors de ses auditions, l'existence d'une altercation. Il a toutefois contesté avoir donné un coup à son épouse; son geste effectué de manière "inconsciente" visait selon lui à la repousser, pour se défendre des attaques de celle-ci.</w:t>
      </w:r>
    </w:p>
    <w:p>
      <w:r>
        <w:t>- 7/10 - P/9789/2024 Regardant au sol pour se protéger, il n'avait pas vu où, ni comment, il l'avait touchée, l'ayant seulement retrouvée au sol après. Si l'épouse du recourant a, quant à elle, déclaré aux ambulanciers être tombée accidentellement, elle a ensuite refusé de fournir à la police des détails sur la provenance de son hématome au visage, expliquant quand même que ses déclarations seraient préjudiciables pour son époux, et que si elle "ouvrait la bouche", il aurait "tout à perdre". Pour le Ministère public, faute de plainte et du moindre indice d'une réitération de voies de fait dans le cadre conjugal, la poursuite ne pouvait pas avoir lieu d'office (art. 126 al. 2 CPP). Le geste du recourant, à savoir repousser son épouse de manière à la faire chuter, était toutefois fautif dès lors qu'il avait, par ce biais, porté atteinte à la personnalité de son épouse au sens de l'art. 28 CC. Ce raisonnement doit être confirmé. Quand bien même le recourant allègue avoir heurté son épouse par négligence, il a néanmoins, par ce geste, causé une atteinte illicite – puisque non consentie (cf. art. 28 al. 2 CC) – à la personnalité de celle-ci. Par ailleurs, on ne saurait reprocher au Ministère public un excès de zèle compte tenu de l'appel des ambulanciers à la police, des marques sur le visage de l'épouse, du constat d'une perforation de son tympan et des déclarations de celle-ci. Les voies de fait étant poursuivies d'office lorsqu'elles ont lieu de manière récurente au sein du couple, il appartenait à l'autorité intimée d'instruire cet aspect, en particulier au regard du comportement et des propos de l'épouse, permettant de soupçonner qu'elle était maltraitée. Le Ministère public s'est d'ailleurs limité à une audience de confrontation et a mis le prévenu au bénéfice d'une défense d'office. Compte tenu de ce qui précède, c'est à raison que le Ministère public a condamné le recourant aux frais de la procédure, en application de l'art. 426 al. 2 CPP.</w:t>
      </w:r>
    </w:p>
    <w:p>
      <w:r>
        <w:rPr>
          <w:b/>
        </w:rPr>
        <w:t>E. 3</w:t>
      </w:r>
    </w:p>
    <w:p>
      <w:r>
        <w:t>Dans cette mesure, l'autorité intimée pouvait également refuser de lui allouer une indemnité au sens de l'art. 429 al. 1 CPP.</w:t>
      </w:r>
    </w:p>
    <w:p>
      <w:r>
        <w:rPr>
          <w:b/>
        </w:rPr>
        <w:t>E. 4</w:t>
      </w:r>
    </w:p>
    <w:p>
      <w:r>
        <w:t>Justifiée, l'ordonnance querellée sera donc confirmée.</w:t>
      </w:r>
    </w:p>
    <w:p>
      <w:r>
        <w:rPr>
          <w:b/>
        </w:rPr>
        <w:t>E. 5</w:t>
      </w:r>
    </w:p>
    <w:p>
      <w:r>
        <w:t>Le recourant, qui succombe, supportera les frais envers l'État, fixés en totalité à CHF 800.- (art. 428 al. 1 CPP et 13 al. 1 du Règlement fixant le tarif des frais en matière pénale, RTFMP;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t>- 8/10 - P/9789/2024</w:t>
      </w:r>
    </w:p>
    <w:p>
      <w:r>
        <w:rPr>
          <w:b/>
        </w:rPr>
        <w:t>E. 6</w:t>
      </w:r>
    </w:p>
    <w:p>
      <w:r>
        <w:t>Le recourant chiffre l'indemnité pour la procédure de recours à CHF 2'738.50, correspondant à 4h35 – y compris la réplique – d'activité au tarif horaire d'un associé (CHF 400.-) et 3h30 d'activité pour un avocat stagiaire (CHF 200.-), TVA à 8.1% incluse.</w:t>
      </w:r>
    </w:p>
    <w:p>
      <w:r>
        <w:rPr>
          <w:b/>
        </w:rPr>
        <w:t>E. 6.1</w:t>
      </w:r>
    </w:p>
    <w:p>
      <w:r>
        <w:t>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 et CHF 110.- pour un avocat stagiaire (let. a). Seules les prestations nécessaires sont retenues; elles sont appréciées en fonction, notamment, de la nature, l'importance et les difficultés de la cause, de la qualité du travail fourni et du résultat obtenu (art. 16 al. 2 RAJ).</w:t>
      </w:r>
    </w:p>
    <w:p>
      <w:r>
        <w:rPr>
          <w:b/>
        </w:rPr>
        <w:t>E. 6.2</w:t>
      </w:r>
    </w:p>
    <w:p>
      <w:r>
        <w:t>En l'espèce, une défense d'office a été ordonnée par le Ministère public conformément à l'art. 132 al. 1 let. a ch. 1 CPP. La défense d'office a pour conséquence que l'avocat désigné est rémunéré conformément aux principes de l'art. 135 CPP – et, à Genève, selon les tarifs du Règlement sur l'assistance juridique et l'indemnisation des conseils juridiques et défenseurs d'office en matière civile, administrative et pénale (RAJ; E 2 05.04) – et non selon l'art. 429 CPP. D'ailleurs, dans l'ordonnance querellée (ch. 5 du dispositif), l'avocat a été indemnisé "au titre d'assistance judiciaire". Partant, l'indemnité sollicitée sera, compte tenu de l'ampleur des écritures du recourant (recours de treize pages, dont celles de garde et de conclusions, et réplique de deux pages) et du peu de difficultés de la cause, ramenée à CHF 886.42, correspondant à 3h d'activité pour le chef d'étude et 2h d'activité pour l'avocat stagiaire, TVA (8.1%) incluse. * * * * *</w:t>
      </w:r>
    </w:p>
    <w:p>
      <w:r>
        <w:t>- 9/10 - P/9789/2024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