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ACPR/364/2024 vom 15. Januar 2024</w:t>
      </w:r>
    </w:p>
    <w:p>
      <w:r>
        <w:t>GE Cour de justice, 2024-01-15, FR</w:t>
      </w:r>
    </w:p>
    <w:p>
      <w:r>
        <w:rPr>
          <w:b/>
        </w:rPr>
        <w:t xml:space="preserve">Quelle: </w:t>
      </w:r>
      <w:r>
        <w:t>https://mcp.opencaselaw.ch/entscheid/ge_gerichte_ACPR_364_2024</w:t>
      </w:r>
    </w:p>
    <w:p>
      <w:r>
        <w:t>FR: GE_GERICHTE ACPR/364/2024 du 15 janvier 2024</w:t>
      </w:r>
    </w:p>
    <w:p>
      <w:r>
        <w:t>IT: GE_GERICHTE ACPR/364/2024 del 15 gennaio 2024</w:t>
      </w:r>
    </w:p>
    <w:p>
      <w:pPr>
        <w:pStyle w:val="Heading2"/>
      </w:pPr>
      <w:r>
        <w:t>Erwägungen</w:t>
      </w:r>
    </w:p>
    <w:p>
      <w:r>
        <w:rPr>
          <w:b/>
        </w:rPr>
        <w:t>E. 1</w:t>
      </w:r>
    </w:p>
    <w:p>
      <w:r>
        <w:t>Vu la connexité évidente des deux recours, ils seront joints et traités par un seul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JdT 2017 IV p. 243; ATF 142 I 135 consid. 2.1; arrêts du Tribunal fédéral 6B_246/2017 du 28 décembre 2017 consid. 4.1; 6B_726/2017 du 20 octobre 2017 consid. 4.1.1).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 SJ 2011 I 347 ; 136 V 117 consid. 4.2.2.2; 133 I 201 consid. 2.2).</w:t>
      </w:r>
    </w:p>
    <w:p>
      <w:r>
        <w:rPr>
          <w:b/>
        </w:rPr>
        <w:t>E. 3.2</w:t>
      </w:r>
    </w:p>
    <w:p>
      <w:r>
        <w:t>En l'espèce, la Chambre de céans constate d'office, en vertu du plein pouvoir de cognition en fait et en droit (art. 391 al. 1 et 393 al. 2 CPP) qui est le sien, que l'ordonnance attaquée n'est pas motivée, le Ministère public s'étant limité à résumer la position des parties dans leurs observations respectives des 30 novembre et</w:t>
      </w:r>
    </w:p>
    <w:p>
      <w:r>
        <w:t>- 6/10 - P/22161/2022 14 décembre 2023, sans développer plus avant pour quels motifs il retenait finalement l'argumentation de l'une d'elle. Ce vice, qui n'a pas été réparé en instance de recours, suffirait à admettre le recours et à renvoyer la cause au Ministère public pour nouvelle décision motivée. Vu cependant l'issue de la cause, il y sera renoncé par économie de procédure.</w:t>
      </w:r>
    </w:p>
    <w:p>
      <w:r>
        <w:rPr>
          <w:b/>
        </w:rPr>
        <w:t>E. 4.1</w:t>
      </w:r>
    </w:p>
    <w:p>
      <w:r>
        <w:t>Les recourants ne contestent pas le bien-fondé et/ou la nécessité d'une expertise (art. 182 CPP). Ils ne remettent pas non plus en cause les connaissances et compétences médicales des deux experts désignés (art. 183 al. 1 CPP). Quand bien même, dans leurs conclusions, ils ne demandent pas formellement la récusation de la Dre I______ et du Prof. E______, ils concluent à l'annulation de l'ordonnance et du mandat d'expertise qui les désigne comme experts, développant dans leurs recours la problématique de la nomination des précités sous l'angle de l'art. 56 CPP (art. 183 al. 3 CPP). Il faut donc retenir qu'ils demandent en réalité leur récusation (cf. à ce propos ACPR/319/2021 du 17 mai 2021).</w:t>
      </w:r>
    </w:p>
    <w:p>
      <w:r>
        <w:rPr>
          <w:b/>
        </w:rPr>
        <w:t>E. 4.2</w:t>
      </w:r>
    </w:p>
    <w:p>
      <w:r>
        <w:t>La Chambre de céans est compétente pour examiner la demande de récusation visant des experts nommés par le Ministère public (arrêts du Tribunal fédéral 1B_488/2011 du 2 décembre 2011 consid. 1.1. et 1B_243/2012 du 9 mai 2012 consid. 1.1.; ACPR/491/2012 du 14 novembre 2012).</w:t>
      </w:r>
    </w:p>
    <w:p>
      <w:r>
        <w:t>4.3.1.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w:t>
      </w:r>
    </w:p>
    <w:p>
      <w:r>
        <w:t>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t>L'autorité qui constate qu'une demande de récusation est tardive n'entre pas en matière et la déclare irrecevable (A. DONATSCH / T. HANSJAKOB / V. LIEBER (éds), Kommentar zur Schweizerischen Strafprozessordnung (StPO), 2ème éd., Zurich 2014, n. 4 ad art. 58 CPP; arrêt du Tribunal fédéral 2C_239/2010 du 30 juin 2010 consid. 2.2; ACPR/303/2014 du 18 juin 2014).</w:t>
      </w:r>
    </w:p>
    <w:p>
      <w:r>
        <w:t>4.3.2. En l'occurrence, les recourants se sont opposés, dans leur lettre du 14 décembre 2023, soit dans le délai prolongé imparti par le Ministère public pour ce faire, à la nomination de la Dre I______ et du Prof. E______. Ils ont d'emblée</w:t>
      </w:r>
    </w:p>
    <w:p>
      <w:r>
        <w:t>- 7/10 - P/22161/2022 soulevé l'apparence de prévention au motif que les prénommés avaient été proposés par la Prof. H______, directrice du CURML, dont le compagnon était Me D______, défenseur de la Dre G______, dont l'éventuelle responsabilité dans le décès de feu F______ faisait précisément l'objet du mandat d'expertise.</w:t>
      </w:r>
    </w:p>
    <w:p>
      <w:r>
        <w:t>La demande de récusation est ainsi recevable.</w:t>
      </w:r>
    </w:p>
    <w:p>
      <w:r>
        <w:rPr>
          <w:b/>
        </w:rPr>
        <w:t>E. 5.1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w:t>
      </w:r>
    </w:p>
    <w:p>
      <w:r>
        <w:t>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w:t>
      </w:r>
    </w:p>
    <w:p>
      <w:r>
        <w:t>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2ème éd., Bâle 2019, n. 19 ad art. 183 CPP). En revanche, l'appartenance à une autorité, à une institution ou à un organisme dont un autre membre est à l'origine de l'action pénale ou s'est prononcé en sa faveur ne suffit pas à</w:t>
      </w:r>
    </w:p>
    <w:p>
      <w:r>
        <w:t>- 8/10 - P/22161/2022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n. 23 ad art. 183 CPP et les références citées).</w:t>
      </w:r>
    </w:p>
    <w:p>
      <w:r>
        <w:rPr>
          <w:b/>
        </w:rPr>
        <w:t>E. 5.2</w:t>
      </w:r>
    </w:p>
    <w:p>
      <w:r>
        <w:t>En l'espèce, si aucun des experts désignés ne réalise personnellement l'un ou l'autre des motifs de récusation de l'art. 56 CPP, leur désignation, sur proposition de la Prof. H______, qui n'est autre que la compagne de l'avocat de la doctoresse dont la responsabilité pénale pourrait être engagée par l'expertise médicale ordonnée – et qui serait donc, elle, récusable à tout le moins sous l'angle de l'art. 56 let. c CPP si elle- même était désignée comme experte –, crée manifestement une apparence de prévention, au sens de la clause générale de l'art. 56 let. f CPP.</w:t>
      </w:r>
    </w:p>
    <w:p>
      <w:r>
        <w:t>Que la Dre I______ estime être en mesure d'accomplir sa mission avec impartialité n'y change donc rien, en tant que c'est le processus de sa désignation et de celle du co-expert qui est en cause.</w:t>
      </w:r>
    </w:p>
    <w:p>
      <w:r>
        <w:t>Le Ministère public en a du reste été conscient puisqu'il s'est précisément interrogé sur la pertinence de la prise en charge par Me D______ de la défense des intérêts de la Dre G______, interpellant l'avocat sur un risque de récusation à ce propos.</w:t>
      </w:r>
    </w:p>
    <w:p>
      <w:r>
        <w:t>Or, il n'appartient pas à l'avocat concerné de se déporter pour éviter cet écueil, d'autant plus que son mandat est antérieur à la désignation litigieuse (cf. à ce propos l'arrêt du Tribunal fédéral 1B_476/2022 du 6 décembre 2022 consid. 2.2.2. et les réf. citées, applicable par analogie, à teneur duquel lorsqu'il est question d'un motif de récusation lié cumulativement à un conflit d'intérêt affectant un avocat, le premier à œuvrer sur le dossier continue d'exercer, alors qu'il appartient au second de renoncer à s'en saisir).</w:t>
      </w:r>
    </w:p>
    <w:p>
      <w:r>
        <w:rPr>
          <w:b/>
        </w:rPr>
        <w:t>E. 6</w:t>
      </w:r>
    </w:p>
    <w:p>
      <w:r>
        <w:t>Au vu de ce qui précède, les experts désignés doivent être récusés et l'ordonnance attaquée annulée (art. 60 al. 1 CPP), comme il y est au demeurant expressément conclu, étant précisé que la demande d'annulation d'actes peut être présentée conjointement avec la requête en récusation (ATF 144 IV consid. 1.1.2).</w:t>
      </w:r>
    </w:p>
    <w:p>
      <w:r>
        <w:t>Le Ministère public est invité à rendre une nouvelle ordonnance et mandat d'expertise médicale qu'il confiera à deux nouveaux experts qu'il aura désignés lui- même ou sur proposition d'un organisme qui ne dépend pas du CURML ni, partant, de la Prof. H______.</w:t>
      </w:r>
    </w:p>
    <w:p>
      <w:r>
        <w:t>- 9/10 - P/22161/2022</w:t>
      </w:r>
    </w:p>
    <w:p>
      <w:r>
        <w:rPr>
          <w:b/>
        </w:rPr>
        <w:t>E. 7</w:t>
      </w:r>
    </w:p>
    <w:p>
      <w:r>
        <w:t>Vu l'issue de la cause, les frais de la procédure seront laissés à la charge de l'État (art. 13 al. 1 let. b a contrario RTFMP [E 4 10.03]). Il n'y a donc pas besoin de statuer sur la demande d'assistance judiciaire relative aux frais.</w:t>
      </w:r>
    </w:p>
    <w:p>
      <w:r>
        <w:rPr>
          <w:b/>
        </w:rPr>
        <w:t>E. 8.1</w:t>
      </w:r>
    </w:p>
    <w:p>
      <w:r>
        <w:t>Le requérant qui a gain de cause dans une procédure de récusation peut prétendre à une indemnité pour ses frais d'avocat par application analogique des art. 429 ss CPP (arrêt du Tribunal fédéral 1B_370/2018 du 10 décembre 2018 consid. 3.1).</w:t>
      </w:r>
    </w:p>
    <w:p>
      <w:r>
        <w:t>Selon l'art. 433 al. 2 CPP, la partie plaignante adresse à l'autorité pénale ses prétentions, qu'elle doit chiffrer et justifier.</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3.1 et 3.2).</w:t>
      </w:r>
    </w:p>
    <w:p>
      <w:r>
        <w:rPr>
          <w:b/>
        </w:rPr>
        <w:t>E. 8.2</w:t>
      </w:r>
    </w:p>
    <w:p>
      <w:r>
        <w:t>En l'espèce, seule A______ sollicite des dépens, qu'elle a chiffrés à CHF 1'459.35 (4h30 au tarif de CHF 200.- l'heure pour la rédaction du recours, auxquelles s'ajoutent CHF 450.- de "frais forfaitaires 50%" et la TVA), selon la note d'honoraires produite.</w:t>
      </w:r>
    </w:p>
    <w:p>
      <w:r>
        <w:t>Eu égard au recours de six pages (page de garde et conclusions comprises, dont deux pages de discussion juridique faiblement topique) et à un très bref courrier, le montant d'honoraires réclamé apparaît excessif et sera ramené à 3h30 au tarif demandé, soit CHF 756,70, TVA à 8,1% comprise.</w:t>
      </w:r>
    </w:p>
    <w:p>
      <w:r>
        <w:t>Il n'y a pas lieu d'y ajouter l'indemnité de CHF 450.- à titre de "frais forfaitaires 50%" réclamée, tel forfait ne se justifiant pas en instance de recours (cf. ACPR/762/2018 du 14 décembre 2018). * * * * *</w:t>
      </w:r>
    </w:p>
    <w:p>
      <w:r>
        <w:t>- 10/10 - P/22161/2022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