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ACPR/362/2026 vom 14. April 2026</w:t>
      </w:r>
    </w:p>
    <w:p>
      <w:r>
        <w:t>GE Cour de justice, 2026-04-14, FR</w:t>
      </w:r>
    </w:p>
    <w:p>
      <w:r>
        <w:rPr>
          <w:b/>
        </w:rPr>
        <w:t xml:space="preserve">Quelle: </w:t>
      </w:r>
      <w:r>
        <w:t>https://mcp.opencaselaw.ch/entscheid/ge_gerichte_ACPR_362_2026</w:t>
      </w:r>
    </w:p>
    <w:p>
      <w:r>
        <w:t>FR: GE_GERICHTE ACPR/362/2026 du 14 avril 2026</w:t>
      </w:r>
    </w:p>
    <w:p>
      <w:r>
        <w:t>IT: GE_GERICHTE ACPR/362/2026 del 14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graves et suffisantes, soutenant en particulier l’inexploitabilité des mesures de surveillance ordonnées par le Ministère public qui avaient été déployées sur territoire français.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vertu du principe de la territorialité, un État ne peut en principe exercer les prérogatives liées à sa souveraineté - dont le pouvoir répressif - qu'à l'intérieur de son propre territoire. Il n'est pas habilité à effectuer des mesures d'instruction et de poursuite pénale sur le territoire d'un autre État sans le consentement de ce dernier (arrêt du Tribunal fédéral 7B_612/2025 du 12 février 2026 consid 3.2.1). Or, selon</w:t>
      </w:r>
    </w:p>
    <w:p>
      <w:r>
        <w:t>- 9/14 - P/4192/2025 l’art. 30 al. 1 EIMP, les autorités suisses ne peuvent pas adresser à un État étranger une demande à laquelle elles-mêmes ne pourraient pas donner suite en vertu du droit international, de l’EIMP et/ou du CPP, ce qui est le cas s’agissant d’une demande d’entraide visant à valider a posteriori la transmission des données qui ont été récoltées en temps réel par des mesures de surveillance secrètes – mises en œuvre par ses agents – sur le territoire d’un État étranger (arrêt 7B_612/2025 précité consid. 3.4.2). Dès lors, la requête d’entraide tendant à faire valider des mesures secrètes opérées sur le territoire d’un État étranger par le biais de moyens techniques mis en place par des agents suisses doit contenir un avertissement quant à l’absence de possibilité pour la Suisse d’accorder la réciprocité, faute de quoi les données obtenues lors des enregistrements à l’étranger doivent être déclarées illicites et immédiatement détruites (arrêt 7B_612/2025 précité consid. 3.6.3 et 3.6.4).</w:t>
      </w:r>
    </w:p>
    <w:p>
      <w:r>
        <w:rPr>
          <w:b/>
        </w:rPr>
        <w:t>E. 2.3</w:t>
      </w:r>
    </w:p>
    <w:p>
      <w:r>
        <w:t>En l’espèce, le dossier ne permet pas en l’état de déterminer quelles données auraient été récoltées sur territoire français, le Ministère public ayant précisément mandaté la police pour qu’elle établisse un récapitulatif des faits reprochés au recourant avec la précision de lieu (en Suisse ou en France) de récolte des données des balises et de la sonorisation. Cela étant, les seuls éléments de preuve recueillis en Suisse, soit les observations policières, les saisies effectuées dans ce pays ou encore l’audition de G______, puis enfin les aveux partiels du recourant, permettent de retenir l’existence de soupçons suffisants que celui-ci est impliqué dans un trafic de stupéfiants portant à tout le moins sur 352 grammes de cocaïne, faits qui doivent être qualifiés de crime contre la LStup. Dès lors, l’existence de charges graves et suffisantes doit être confirmée.</w:t>
      </w:r>
    </w:p>
    <w:p>
      <w:r>
        <w:rPr>
          <w:b/>
        </w:rPr>
        <w:t>E. 2.4</w:t>
      </w:r>
    </w:p>
    <w:p>
      <w:r>
        <w:t>Le recourant conteste l’existence d’un risque de fuite.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2.5</w:t>
      </w:r>
    </w:p>
    <w:p>
      <w:r>
        <w:t>En l’espèce, ce risque a été retenu de manière constante par le TMC depuis la mise en détention du recourant le 20 février 2025, dans des ordonnances qu’il n’a jamais contestées. Or, le caractère éventuellement illicite de certaines des preuves récoltées ne suffit pas à le rendre inexistant, au vu des seuls éléments de preuve qui</w:t>
      </w:r>
    </w:p>
    <w:p>
      <w:r>
        <w:t>- 10/14 - P/4192/2025 doivent être retenus à son encontre pour avoir été indubitablement récoltés en Suisse. Il sera rappelé que si le recourant a en effet une épouse et des enfants de nationalité suisse et résidant en Suisse, ces attaches ne sont pas suffisantes au vu de la peine menace et concrètement encourue si les charges susmentionnées devaient être finalement retenues contre lui, ce d’autant qu’il a de la famille directe en Guinée- Bissau et en Guinée-Conakry. Quant aux mesures de substitution proposées pour pallier le risque de fuite – tangible –, à savoir le dépôt de ses documents d’identité, une obligation de se présenter aux autorités ou encore le port d’un bracelet électronique, elles ne permettraient pas d'empêcher le recourant de franchir la frontière par voie terrestre pour se rendre à l'étranger ou de disparaitre dans la clandestinité, mais tout au plus de constater sa fuite a posteriori (ATF 145 IV 503 consid. 3.3.1).</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 risque de collusion a été retenu de manière constante par le TMC depuis la mise en détention du recourant. Le co-prévenu G______ a certes été désormais entendu à plusieurs reprises en confrontation avec le recourant. Il n’en demeure pas moins que le recourant conteste largement les faits qui lui sont reprochés et que l’enquête n’est pas terminée, l’audience de jugement encore moins appointée. Le Ministère public annonce en effet que l’analyse des téléphones saisis est en cours, de même que l’établissement d’un rapport</w:t>
      </w:r>
    </w:p>
    <w:p>
      <w:r>
        <w:t>- 11/14 - P/4192/2025 de renseignements sur les observations policières et d’un autre sur les éléments de surveillance récoltés en Suisse et en France. Des auditions sont par ailleurs apointées ou prévues et il importe que le recourant ne puisse entrer en contact, ni avec les protagonistes déjà identifiés, ni avec les autres personnes susceptibles d'avoir été en lien avec le trafic reproché, non encore identifiées à ce jour, et mettre ainsi en péril l'administration des preuves à venir. Le risque de collusion apparait ainsi toujours élevé et c'est donc à bon droit que le TMC l'a retenu. L'interdiction de contacter les personnes impliquées dans la procédure, proposée par le recourant, n'est pas apte à pallier le risque de collusion, toujours élevé. Une telle mesure ne l'empêcherait pas de contacter les autres protagonistes identifiés (arrêts 1B_485/2019 du 12 novembre 2019 consid. 3.4.2; 1B_121/2019 du 8 avril 2019 consid. 4.4). Elle n'est de toute façon pas envisageable s’agissant des personnes non encore identifiées.</w:t>
      </w:r>
    </w:p>
    <w:p>
      <w:r>
        <w:rPr>
          <w:b/>
        </w:rPr>
        <w:t>E. 4</w:t>
      </w:r>
    </w:p>
    <w:p>
      <w:r>
        <w:t>L’existence de ces deux risques, indiscutables, dispense l'autorité de recours d'examiner si un troisième risque – alternatif –, de réitération, est également réalisé (arrêts du Tribunal fédéral 7B_144/2025 du 24 mars 2025 consid. 3.3; 7B_188/2024 du 12 mars 2024 consid. 6.3.1 et 1B_197/2023 du 4 mai 2023 consid. 4.5).</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5.2</w:t>
      </w:r>
    </w:p>
    <w:p>
      <w:r>
        <w:t>En l’espèce, la durée de la détention provisoire du recourant subie à ce jour, soit un peu plus de treize mois, demeure proportionnée à la peine menace et concrète encourue s’il devait être reconnu coupable des faits graves qui lui sont reprochés, étant précisé que l’instruction se poursuit en particulier avec l’audition de E______, détenu en France, ainsi que de C______ et F______, convoquées pour le 12 mai prochain, de même que l’attente de deux rapports de police. L’instruction n’a au demeurant pas connu de temps mort, le Ministère public ayant procédé à de nombreux actes d’instruction, en particulier des auditions régulières du recourant, au fur et à mesure de la réception par cette autorité des nouveaux éléments recueillis par la police.</w:t>
      </w:r>
    </w:p>
    <w:p>
      <w:r>
        <w:rPr>
          <w:b/>
        </w:rPr>
        <w:t>E. 6</w:t>
      </w:r>
    </w:p>
    <w:p>
      <w:r>
        <w:t>Le recours s’avère ainsi infondé et doit être rejeté.</w:t>
      </w:r>
    </w:p>
    <w:p>
      <w:r>
        <w:t>- 12/14 - P/4192/2025</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malgré l'issue du recours, un premier contrôle des charges par l'autorité de recours ne procède pas d’un abus. L'indemnité du défenseur d'office sera fixée à la fin de la procédure (art. 135 al. 2 CPP). * * * * *</w:t>
      </w:r>
    </w:p>
    <w:p>
      <w:r>
        <w:t>- 13/14 - P/4192/2025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