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ACPR/360/2025 vom 23. Juli 2024</w:t>
      </w:r>
    </w:p>
    <w:p>
      <w:r>
        <w:t>GE Cour de justice, 2024-07-23, FR</w:t>
      </w:r>
    </w:p>
    <w:p>
      <w:r>
        <w:rPr>
          <w:b/>
        </w:rPr>
        <w:t xml:space="preserve">Quelle: </w:t>
      </w:r>
      <w:r>
        <w:t>https://mcp.opencaselaw.ch/entscheid/ge_gerichte_ACPR_360_2025</w:t>
      </w:r>
    </w:p>
    <w:p>
      <w:r>
        <w:t>FR: GE_GERICHTE ACPR/360/2025 du 23 juillet 2024</w:t>
      </w:r>
    </w:p>
    <w:p>
      <w:r>
        <w:t>IT: GE_GERICHTE ACPR/360/2025 del 23 luglio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 pénale.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2.2</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t>- 5/7 - P/20345/2021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Tel est notamment le cas si l'auteur conclut un contrat en ayant d'emblée l'intention de ne pas fournir sa prestation alors que son intention n'était pas décelable (ATF 118 IV 359 consid. 2). L'astuce n'est toutefois pas réalisée si la dupe pouvait se protéger avec un minimum d'attention ou éviter l'erreur avec le minimum de prudence que l'on pouvait attendre d'elle (ATF 135 IV 76 consid. 5.2).</w:t>
      </w:r>
    </w:p>
    <w:p>
      <w:r>
        <w:rPr>
          <w:b/>
        </w:rPr>
        <w:t>E. 2.3</w:t>
      </w:r>
    </w:p>
    <w:p>
      <w:r>
        <w:t>En l'espèce, le nom du mis en cause figurant sur la signature des contrats diverge de celui de la carte d'identité présentée lors de la conclusion du contrat ["B______" au lieu de "B______" [orthographié différemment]], ce qu'aurait pu constater la recourante. Ceci étant, cette différence [de deux lettres] n'est pas flagrante et pouvait passer inaperçue. Il n'apparaît non plus pas d'emblée que les chiffres "210713", intégrés dans le numéro de référence, concernaient un paiement effectué le 13 juillet 2021 – plutôt que le 28 août 2021 – , étant souligné que la commande du vol a été effectuée le vendredi, pour un départ le lendemain, alors que les banques sont fermées durant le week-end, ce qui empêchait la recourante de vérifier le numéro de référence lors de la réception de l'attestation de paiement et de s'assurer que le montant du premier vol avait été versé sur son compte bancaire. À cela s'ajoute que le mis en cause a utilisé, pour effectuer les réservations, une carte d'identité, usurpée, non valable. Le raisonnement qui précède vaut mutatis mutandis pour le vol de retour commandé le dimanche, pour un départ le lendemain matin à 7h30. Au surplus, aucune recherche n'a été entreprise pour entendre les dénommés E______ et F______, lesquels semblaient, selon la police, être impliqués dans la présente procédure. Partant, au vu de ce qui précède, le prononcé d'une ordonnance de non-entrée en matière paraît à tout le moins prématuré. Il appartiendra donc au Ministère public de compléter l'enquête, voire d'ouvrir une instruction, notamment en procédant à la recherche des personnes susmentionnées et à leur audition.</w:t>
      </w:r>
    </w:p>
    <w:p>
      <w:r>
        <w:t>- 6/7 - P/20345/2021</w:t>
      </w:r>
    </w:p>
    <w:p>
      <w:r>
        <w:rPr>
          <w:b/>
        </w:rPr>
        <w:t>E. 3</w:t>
      </w:r>
    </w:p>
    <w:p>
      <w:r>
        <w:t>Fondé, le recours doit être admis; l'ordonnance querellée sera ainsi annulée et la cause renvoyée au Ministère public pour qu'il procède dans le sens des considérants.</w:t>
      </w:r>
    </w:p>
    <w:p>
      <w:r>
        <w:rPr>
          <w:b/>
        </w:rPr>
        <w:t>E. 4</w:t>
      </w:r>
    </w:p>
    <w:p>
      <w:r>
        <w:t>L'admission du recours ne donne pas lieu à la perception de frais (art. 428 al. 4 CPP).</w:t>
      </w:r>
    </w:p>
    <w:p>
      <w:r>
        <w:rPr>
          <w:b/>
        </w:rPr>
        <w:t>E. 5</w:t>
      </w:r>
    </w:p>
    <w:p>
      <w:r>
        <w:t>La recourante, partie plaignante qui obtient gain de cause, n'a pas sollicité d'indemnité, de sorte qu'il ne lui en sera pas allouée (art. 433 al. 2 CPP). * * * * *</w:t>
      </w:r>
    </w:p>
    <w:p>
      <w:r>
        <w:t>- 7/7 - P/20345/2021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