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ACPR/35/2024 vom 19. Dezember 2023</w:t>
      </w:r>
    </w:p>
    <w:p>
      <w:r>
        <w:t>GE Cour de justice, 2023-12-19, FR</w:t>
      </w:r>
    </w:p>
    <w:p>
      <w:r>
        <w:rPr>
          <w:b/>
        </w:rPr>
        <w:t xml:space="preserve">Quelle: </w:t>
      </w:r>
      <w:r>
        <w:t>https://mcp.opencaselaw.ch/entscheid/ge_gerichte_ACPR_35_2024</w:t>
      </w:r>
    </w:p>
    <w:p>
      <w:r>
        <w:t>FR: GE_GERICHTE ACPR/35/2024 du 19 décembre 2023</w:t>
      </w:r>
    </w:p>
    <w:p>
      <w:r>
        <w:t>IT: GE_GERICHTE ACPR/35/2024 del 19 dicembre 2023</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et délai prescrits (art. 385 al. 1, 390 al. 1 et 396 al. 1 CPP), par le condamné, qui a un intérêt juridiquement protégé à l'annulation ou à la modification de la décision attaquée (art. 382 al. 1 CPP). La pièce nouvelle (cf. B.p. supra) est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à l'autorité précédente d'avoir retenu un pronostic défavorable.</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w:t>
      </w:r>
    </w:p>
    <w:p>
      <w:r>
        <w:t>- 10/14 - PM/1153/2023 conditions dans lesquelles il est à prévoir qu'il vivra (ATF 133 IV 201 consid. 2.3 et les références citées). Par sa nature même, le pronostic ne saurait être tout à fait sûr; force est de se contenter d'une certaine probabilité; un risque de récidive est inhérent à toute libération, conditionnelle ou définitive (ATF 119 IV 5 consid. 1b).</w:t>
      </w:r>
    </w:p>
    <w:p>
      <w:r>
        <w:rPr>
          <w:b/>
        </w:rPr>
        <w:t>E. 3.2</w:t>
      </w:r>
    </w:p>
    <w:p>
      <w:r>
        <w:t>Selon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Le détenu doit participer activement aux efforts de resocialisation mis en œuvre et à la préparation de sa libération (al. 4). Le développement du comportement social du détenu, notamment de sa capacité à respecter la loi, est le premier objectif à atteindre lors de l'exécution. Par conséquent, la tâche des autorités d'exécution consiste en premier lieu à mettre en place des processus de socialisation. L'aptitude du condamné à vivre sans commettre d'infractions est particulièrement visée ; il s'agit du but de prévention spéciale, également voulu par l'ancien droit (M. DUPUIS / L. MOREILLON / C. PIGUET / S. BERGER / M. MAZOU / V. RODIGARI (éds), Code pénal - Petit commentaire, 2ème éd., Bâle 2017, n. 2 ad art. 75).</w:t>
      </w:r>
    </w:p>
    <w:p>
      <w:r>
        <w:rPr>
          <w:b/>
        </w:rPr>
        <w:t>E. 3.3</w:t>
      </w:r>
    </w:p>
    <w:p>
      <w:r>
        <w:t>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et les références citées).</w:t>
      </w:r>
    </w:p>
    <w:p>
      <w:r>
        <w:rPr>
          <w:b/>
        </w:rPr>
        <w:t>E. 3.4</w:t>
      </w:r>
    </w:p>
    <w:p>
      <w:r>
        <w:t>En l'espèce, le recourant ne conteste pas s'être mal comporté en détention, en particulier lors de son séjour à D______ et à son arrivée à E______, et d'avoir commis des faits de violence sur un codétenu. Il avait pourtant initié l'exécution de la peine en milieu ouvert, de sorte que ses explications pour tenter de justifier ses débordements (suspicion de TDAH, faible seuil de tolérance lié à son trouble) ne convainquent pas. En substance, le recourant soutient qu'il se comporterait mieux en liberté, où il pourrait suivre sa thérapie et travailler. Il perd toutefois de vue que c'est là l'opinion de tout détenu, d'une part, et que, d'autre part, dans la mesure où il a été condamné à une peine privative de liberté, il ne lui appartient pas de discuter</w:t>
      </w:r>
    </w:p>
    <w:p>
      <w:r>
        <w:t>- 11/14 - PM/1153/2023 celle-ci. Le but de l'exécution de cette peine est d'améliorer le comportement social de l'intéressé, en particulier son aptitude à vivre sans commettre d’infractions, et c'est dans le cadre de cette exécution que sa capacité sera évaluée, sans qu'il n'ait à remettre en cause les modalités d'exécution, ni à choisir celles-ci. Ainsi, seul le pronostic du recourant à vivre en société sans commettre d'infraction doit, ici, être examiné. À bien le comprendre, le recourant estime que son comportement en détention serait de nature purement disciplinaire. Tel n'est pas le cas. L'arrêt ACPR/494/2021, dont il se prévaut, visait un cas très différent du sien, dans lequel le détenu n'avait pas porté atteinte à l'intégrité corporelle de tiers, ni n'avait d'antécédents judiciaires. Ici, le recourant a été condamné, pour des actes de violence, à plusieurs reprises depuis 2016, et la condamnation qu'il purge concerne de nouveaux actes de cette nature perpétrés après l'octroi de sursis (2016), une libération conditionnelle (2016) et un sursis partiel (2019). Son comportement en détention, et en particulier l'usage de la violence, fait donc partie des éléments à prendre en compte dans l'établissement du pronostic. Dans ce cadre, le recourant estime qu'il faudrait surtout tenir compte du fait qu'il a mis a profit sa libération provisoire pour travailler et régler ses dettes. Il oublie toutefois qu'il a aussi, dans cette période, commis un délit à la LStup. En outre, son attitude – partiellement – favorable après sa libération provisoire a pu jouer en sa faveur dans la peine prononcée par le Tribunal correctionnel, mais joue un moindre rôle ici, puisque le pronostic en vue de la libération conditionnelle se fonde sur le comportement du condamné durant l'exécution de la peine (art. 75 CP), et non précédemment. Or, en l'occurrence, le recourant, qui souffre d'un trouble de la personnalité dyssociale et dont le risque de récidive violente a été considéré comme moyen par l'expertise psychiatrique, s'est montré violent sur un codétenu moins de quatre mois après le début de l'exécution de la peine. Par ailleurs, son comportement en détention a été jugé inadéquat dans les trois établissements où il a séjourné, provoquant la suppression du régime ouvert, ainsi que la suppression des congés prévus par le PES, dont il n'a jamais bénéficié. L'expert psychiatre avait précisément souligné la nécessité, pour le recourant, de travailler sur son impulsivité, son intolérance aux frustrations et son rapport à la violence, afin de diminuer le risque de récidive. En l'occurrence, au vu de l'attitude oppositionnelle du recourant depuis son entrée en exécution de peine, et son recours à la violence, le pronostic est clairement défavorable.</w:t>
      </w:r>
    </w:p>
    <w:p>
      <w:r>
        <w:rPr>
          <w:b/>
        </w:rPr>
        <w:t>E. 4</w:t>
      </w:r>
    </w:p>
    <w:p>
      <w:r>
        <w:t>Le recours sera dès lors rejeté.</w:t>
      </w:r>
    </w:p>
    <w:p>
      <w:r>
        <w:t>- 12/14 - PM/1153/2023</w:t>
      </w:r>
    </w:p>
    <w:p>
      <w:r>
        <w:rPr>
          <w:b/>
        </w:rPr>
        <w:t>E. 5</w:t>
      </w:r>
    </w:p>
    <w:p>
      <w:r>
        <w:t>Le recourant, qui succombe, supportera les frais envers l'État, qui comprendront un émolument de CHF 900.- (art. 428 al. 1 CPP et 13 al. 1 du Règlement fixant le tarif des frais en matière pénale, RTFMP ; E 4 10.03), étant précisé que même lorsqu'il obtient l'assistance judiciaire, le recourant débouté peut être condamné à prendre à sa charge les frais de la procédure dans la mesure de ses moyens (arrêt du Tribunal fédéral 6B_380/2013 du 16 janvier 2014, consid. 5).</w:t>
      </w:r>
    </w:p>
    <w:p>
      <w:r>
        <w:rPr>
          <w:b/>
        </w:rPr>
        <w:t>E. 6</w:t>
      </w:r>
    </w:p>
    <w:p>
      <w:r>
        <w:t>La procédure étant close, l'avocat d'office sera indemnisé à hauteur de CHF 1'680.12, conformément à sa note de frais détaillée. * * * * *</w:t>
      </w:r>
    </w:p>
    <w:p>
      <w:r>
        <w:t>- 13/14 - PM/1153/2023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