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ACPR/359/2020 vom 3. Februar 2020</w:t>
      </w:r>
    </w:p>
    <w:p>
      <w:r>
        <w:t>GE Cour de justice, 2020-02-03, FR</w:t>
      </w:r>
    </w:p>
    <w:p>
      <w:r>
        <w:rPr>
          <w:b/>
        </w:rPr>
        <w:t xml:space="preserve">Quelle: </w:t>
      </w:r>
      <w:r>
        <w:t>https://mcp.opencaselaw.ch/entscheid/ge_gerichte_ACPR_359_2020</w:t>
      </w:r>
    </w:p>
    <w:p>
      <w:r>
        <w:t>FR: GE_GERICHTE ACPR/359/2020 du 3 février 2020</w:t>
      </w:r>
    </w:p>
    <w:p>
      <w:r>
        <w:t>IT: GE_GERICHTE ACPR/359/2020 del 3 febbraio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arrêt du Tribunal fédéral 6B_417/2017 du 10 janvier 2018 consid. 2.1.2).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Bâle 2019, n. 9 ad art. 310).</w:t>
      </w:r>
    </w:p>
    <w:p>
      <w:r>
        <w:t>- 5/8 - P/12970/2019</w:t>
      </w:r>
    </w:p>
    <w:p>
      <w:r>
        <w:rPr>
          <w:b/>
        </w:rPr>
        <w:t>E. 3.2</w:t>
      </w:r>
    </w:p>
    <w:p>
      <w:r>
        <w:t>Commet un abus de confiance au sens de l'art. 138 ch. 1 CP, celui qui, pour se procurer ou procurer à un tiers un enrichissement illégitime, se sera approprié une chose mobilière appartenant à autrui et qui lui avait été confiée (1er hypothèse), ou celui qui, sans droit aura employé à son profit ou au profit d'un tiers, des valeurs patrimoniales qui lui avaient été confiées (2ème hypothèse).</w:t>
      </w:r>
    </w:p>
    <w:p>
      <w:r>
        <w:rPr>
          <w:b/>
        </w:rPr>
        <w:t>E. 3.3</w:t>
      </w:r>
    </w:p>
    <w:p>
      <w:r>
        <w:t>L’infraction précitée exige que l’auteur agisse dans un dessein d’enrichissement illégitime (ATF 133 IV 21 consid. 6.1.2 ; ATF 118 IV 32 consid. 2a). La condition du dessein d’enrichissement illégitime est remplie dès lors que l’auteur fait usage à son profit ou au profit d’un tiers du bien confié sans avoir à tout instant la volonté et la possibilité de respecter les termes du rapport de confiance et l’affectation prévue par ce biais (ATF 133 IV 21 consid. 6.1.2 ; ATF 118 UV 27 consid. 3a). A contrario, la condition n’est pas remplie si, au moment de l'emploi illicite de la valeur patrimoniale, l'auteur en paie la contre-valeur, s'il avait à tout moment ou, le cas échéant, à la date convenue à cet effet, la volonté et la possibilité de le faire ("Ersatzbereitschaft" ; ATF 118 IV 32 consid. 2a) ou encore s'il était en droit de compenser (ATF 105 IV 29 consid. 3a).</w:t>
      </w:r>
    </w:p>
    <w:p>
      <w:r>
        <w:rPr>
          <w:b/>
        </w:rPr>
        <w:t>E. 3.4</w:t>
      </w:r>
    </w:p>
    <w:p>
      <w:r>
        <w:t>En l’espèce, la question de savoir si les montants encaissés par la mise en cause pour les prestations effectuées par le recourant revêtent la qualité de biens « confiés » peut rester ouverte au regard de ce qui suit. La convention conclue entre les parties prévoyait un versement mensuel des honoraires encaissés, de la mise en cause au recourant, après déduction de sa rémunération. Ce n’est donc qu’après encaissement des montants facturés qu’une rétribution était due au recourant, ce que ce dernier ne conteste nullement. Conformément à la jurisprudence précitée, le dessein d’enrichissement illégitime fait défaut si l’auteur a la volonté ou la possibilité de payer la contre-valeur de la valeur patrimoniale « confiée ». Or, il n’apparaît pas que de l’argent ait été encaissé par la mise en cause pour des prestations effectuées par le recourant, sans que cette dernière n’ait eu la volonté, ni ne soit dans l’impossibilité, de reverser la partie revenant à celui-là. Au contraire, la mise en cause a reconnu qu’il était possible que des montants aient été encaissés pour le compte du recourant, après la cessation d’activité de celui-ci en son sein, sans que ceux-ci ne lui aient encore été versés. En particulier, elle a admis lui devoir le 50 % d'un montant d'environ CHF 2'000.- et s’est dit prête à effectuer le virement. Au surplus, il n’apparaît pas non plus qu’elle ne puisse pas s’acquitter de la somme en question, ni d’éventuels autres montants dus. Il n’existe ainsi pas de soupçon suffisant d’un dessein d’enrichissement illégitime justifiant la poursuite de l’infraction d’abus de confiance.</w:t>
      </w:r>
    </w:p>
    <w:p>
      <w:r>
        <w:t>- 6/8 - P/12970/2019 Enfin, le fait que le recourant estime qu’un montant supérieur lui soit dû relève de l’exécution de la convention entre les parties et donc d’un litige à caractère essentiellement civil. S’il l’estime nécessaire, il devra donc s’adresser aux autorités civiles, auprès desquelles il lui appartiendra de démontrer la réalité de sa créance et pourra, à cet effet, solliciter les documents nécessaires, en particulier auprès des compagnies d’assurances et de C______ SA. Compte tenu de ce qui précède, la décision du Ministère public ne prête pas le flanc à la critique et les actes d’enquête sollicités seront rejetés.</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- 7/8 - P/12970/2019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