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ACPR/359/2019 vom 28. April 2019</w:t>
      </w:r>
    </w:p>
    <w:p>
      <w:r>
        <w:t>GE Cour de justice, 2019-04-28, FR</w:t>
      </w:r>
    </w:p>
    <w:p>
      <w:r>
        <w:rPr>
          <w:b/>
        </w:rPr>
        <w:t xml:space="preserve">Quelle: </w:t>
      </w:r>
      <w:r>
        <w:t>https://mcp.opencaselaw.ch/entscheid/ge_gerichte_ACPR_359_2019</w:t>
      </w:r>
    </w:p>
    <w:p>
      <w:r>
        <w:t>FR: GE_GERICHTE ACPR/359/2019 du 28 avril 2019</w:t>
      </w:r>
    </w:p>
    <w:p>
      <w:r>
        <w:t>IT: GE_GERICHTE ACPR/359/2019 del 28 aprile 2019</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résulte des procès-verbaux de ses auditions successives (police, Ministère public, TMC) qu'elles ne sont pas contestées.</w:t>
      </w:r>
    </w:p>
    <w:p>
      <w:r>
        <w:rPr>
          <w:b/>
        </w:rPr>
        <w:t>E. 3</w:t>
      </w:r>
    </w:p>
    <w:p>
      <w:r>
        <w:t>Le recourant estime ne pas présenter de risque de réitération.</w:t>
      </w:r>
    </w:p>
    <w:p>
      <w:r>
        <w:rPr>
          <w:b/>
        </w:rPr>
        <w:t>E. 3.1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w:t>
      </w:r>
    </w:p>
    <w:p>
      <w:r>
        <w:t>- 4/7 - P/9026/2019 ne peut se justifier pour ce motif que si le pronostic est très défavorable et si les délits dont l'autorité redoute la réitération sont graves (ATF 137 IV 13 consid. 4.5 p. 21; 135 I 71 consid. 2.3 p. 73;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DCPR/205/2011 du 9 août 2011).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3.2</w:t>
      </w:r>
    </w:p>
    <w:p>
      <w:r>
        <w:t>À teneur de l'art. 119 al. 1 LÉI, quiconque enfreint une assignation à un lieu de résidence ou une interdiction de pénétrer dans une région déterminée (art. 74 LÉI) est puni d'une peine privative de liberté de trois ans au plus ou d'une peine pécuniaire. La violation de domicile est passible des mêmes peines. Il s'agit donc de délits (art. 10 al. 3 CP). L'infraction réprimée à l'art. 119 LÉI est, par ailleurs, punie plus sévèrement que le séjour illégal (art. 115 LÉI).</w:t>
      </w:r>
    </w:p>
    <w:p>
      <w:r>
        <w:rPr>
          <w:b/>
        </w:rPr>
        <w:t>E. 3.3</w:t>
      </w:r>
    </w:p>
    <w:p>
      <w:r>
        <w:t>Le risque de réitération est, en l'espèce, patent. Le recourant semble postuler, mais à tort, que la réitération d'infractions aux dispositions sur le séjour des étrangers ne permettrait jamais de placement en détention avant jugement. Il n'a aucun droit de rester sur le territoire suisse. Il résulte de ses propres explications qu'il y demeure cependant depuis plus de vingt ans, vit en marge des lois et règles sociales, avec persistance, et encourt de régulières condamnations, la plupart liées à sa situation administrative. La menace d'une sanction pénale n'est d'aucun effet sur lui, puisqu'il n'a de cesse de recommencer ses activités dès qu'il recouvre sa liberté, en dépit des nombreuses sanctions prononcées. Le pronostic est donc clairement négatif (ATF 143 IV 9 consid. 2.9 p. 17). En outre, les infractions actuellement poursuivies ne sont pas contestées, et leurs peines menaces n'en font pas des délits bénins. Ces constats fondent un risque de réitération élevé, tant quant à son importance que par rapport à son aspect concret (ACPR/646/2016 du 11 octobre 2016 consid. 3.3.; ACPR/2013/2014 du 14 avril 2014 consid. 4.1.2.). Partant, ce risque permettait la mise en détention du recourant.</w:t>
      </w:r>
    </w:p>
    <w:p>
      <w:r>
        <w:t>- 5/7 - P/9026/2019</w:t>
      </w:r>
    </w:p>
    <w:p>
      <w:r>
        <w:rPr>
          <w:b/>
        </w:rPr>
        <w:t>E. 4</w:t>
      </w:r>
    </w:p>
    <w:p>
      <w:r>
        <w:t>Ce risque suffit à faire obstacle à une libération, sans qu'il soit besoin d'examiner le risque de fuite.</w:t>
      </w:r>
    </w:p>
    <w:p>
      <w:r>
        <w:rPr>
          <w:b/>
        </w:rPr>
        <w:t>E. 5</w:t>
      </w:r>
    </w:p>
    <w:p>
      <w:r>
        <w:t>On ne voit pas quelle mesure de substitution (art. 237 al. 1 CPP) entrerait en considération. L'assignation à résidence proposée par le recourant est déjà en vigueur, par l'effet d'une décision administrative qu'il n'a pas respectée. L'astreinte à se présenter périodiquement à un poste de police (art. 237 al. 2 ch. 3 CPP) n'empêcherait pas la récidive. Elle revêtirait au surplus un caractère inopportun, puisqu'elle reviendrait à valider, si ce n'est à perpétuer un séjour illégal, c'est-à-dire la commission d'une infraction, sous le contrôle d'une autorité chargée de les constater (ACPR/763/2018 consid. 5).</w:t>
      </w:r>
    </w:p>
    <w:p>
      <w:r>
        <w:rPr>
          <w:b/>
        </w:rPr>
        <w:t>E. 6</w:t>
      </w:r>
    </w:p>
    <w:p>
      <w:r>
        <w:t>La durée du placement en détention paraît tenir compte de toutes les circonstances (clore l'instruction et faire juger en une fois le recourant). Le recourant ne prétend d'ailleurs pas le contraire.</w:t>
      </w:r>
    </w:p>
    <w:p>
      <w:r>
        <w:rPr>
          <w:b/>
        </w:rPr>
        <w:t>E. 7</w:t>
      </w:r>
    </w:p>
    <w:p>
      <w:r>
        <w:t>Le recourant, qui succombe par conséquent, supportera les frais envers l'État, qui seront fixés en totalité à CHF 900.- (art. 428 al. 1 CPP et 13 al. 1 du Règlement fixant le tarif des frais en matière pénale, RTFMP; E 4 10.03). *****</w:t>
      </w:r>
    </w:p>
    <w:p>
      <w:r>
        <w:t>- 6/7 - P/9026/2019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