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ACPR/357/2020 vom 30. März 2020</w:t>
      </w:r>
    </w:p>
    <w:p>
      <w:r>
        <w:t>GE Cour de justice, 2020-03-30, FR</w:t>
      </w:r>
    </w:p>
    <w:p>
      <w:r>
        <w:rPr>
          <w:b/>
        </w:rPr>
        <w:t xml:space="preserve">Quelle: </w:t>
      </w:r>
      <w:r>
        <w:t>https://mcp.opencaselaw.ch/entscheid/ge_gerichte_ACPR_357_2020</w:t>
      </w:r>
    </w:p>
    <w:p>
      <w:r>
        <w:t>FR: GE_GERICHTE ACPR/357/2020 du 30 mars 2020</w:t>
      </w:r>
    </w:p>
    <w:p>
      <w:r>
        <w:t>IT: GE_GERICHTE ACPR/357/2020 del 30 marzo 2020</w:t>
      </w:r>
    </w:p>
    <w:p>
      <w:pPr>
        <w:pStyle w:val="Heading2"/>
      </w:pPr>
      <w:r>
        <w:t>Erwägungen</w:t>
      </w:r>
    </w:p>
    <w:p>
      <w:r>
        <w:rPr>
          <w:b/>
        </w:rPr>
        <w:t>E. 1</w:t>
      </w:r>
    </w:p>
    <w:p>
      <w:r>
        <w:t>Le recours est recevable pour avoir été déposé devant l'autorité compétente contre une décision judiciaire ultérieure indépendante (cf. arrêt du Tribunal fédéral 1B_158/2013 du 25 avril 2013 consid. 2.1. ; A. KUHN / Y. JEANNERET (éds), Commentaire romand : Code de procédure pénale suisse, Bâle 2019, n. 30 ad art. 363) sujette à recours, dans les délai et forme requis (art. 384 let. b, 385 al. 1, 390 al. 1 et 396 al. 1 CPP) et par le condamné, disposant d'un intérêt juridiquement protégé à l'annulation ou à la modification de la décision attaquée (art. 382 al. 1 CPP).</w:t>
      </w:r>
    </w:p>
    <w:p>
      <w:r>
        <w:rPr>
          <w:b/>
        </w:rPr>
        <w:t>E. 2</w:t>
      </w:r>
    </w:p>
    <w:p>
      <w:r>
        <w:t>Le recourant conteste le refus de sa demande de libération conditionnelle.</w:t>
      </w:r>
    </w:p>
    <w:p>
      <w:r>
        <w:rPr>
          <w:b/>
        </w:rPr>
        <w:t>E. 2.1</w:t>
      </w:r>
    </w:p>
    <w:p>
      <w:r>
        <w:t>À teneur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dernière étape de l'exécution de la sanction pénale. Elle est la règle et son refus l'exception, dans la mesure où il n'est plus exigé qu'il soit à prévoir que le condamné se conduira bien en liberté (cf. art. 38 ch. 1 al. 1 aCP), mais seulement qu'il ne soit pas à craindre qu'il commette de nouveaux crimes ou délits. Autrement dit, il n'est plus nécessaire pour l'octroi de la libération conditionnelle qu'un pronostic favorable puisse être posé. Il suffit que le pronostic ne soit pas défavorable (ATF 133 IV 201 consid. 2.2 p. 203).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 201 consid. 2.3 p. 203 s. et les références citées). Par sa nature même, le pronostic ne saurait être tout à fait sûr; force est de se contenter d'une certaine probabilité; un risque de récidive est inhérent à toute libération, conditionnelle ou définitive (ATF 119 IV 5 consid. 1b p. 7). Il convient d'examiner si le danger que représente le détenu au moment de sa libération augmenterait, diminuerait ou resterait inchangé en cas d'exécution complète de la peine (A. KUHN / L. MOREILLON / B. VIREDAZ / A. BISCHOFSKY, La nouvelle partie générale du Code pénal suisse, Berne, 2006, p. 361). Un risque de récidive étant inhérent à toute libération, qu'elle soit conditionnelle ou définitive, pour déterminer si l'on peut courir ce risque, il faut, non</w:t>
      </w:r>
    </w:p>
    <w:p>
      <w:r>
        <w:t>- 7/10 - PM/252/2020 seulement, prendre en considération le degré de probabilité qu'une nouvelle infraction soit commise, mais également l'importance du bien qui serait alors menacé (ATF 125 IV 113 consid. 2a).</w:t>
      </w:r>
    </w:p>
    <w:p>
      <w:r>
        <w:rPr>
          <w:b/>
        </w:rPr>
        <w:t>E. 2.2</w:t>
      </w:r>
    </w:p>
    <w:p>
      <w:r>
        <w:t>L'allégation de l'absence d'un risque de réitération sur le territoire national en cas de retour à l'étranger ne saurait être un motif d'octroi de la libération conditionnelle, le juge suisse ne pouvant s'accommoder d'un tel risque à l'étranger (AARP/381/2016 du 19 septembre 2016 consid. 2.3; AARP/536/2015 du 8 décembre 2015 consid. 2.3). Il est admissible de lier l'octroi d'une libération conditionnelle au fait que le condamné quitte effectivement la Suisse si le pronostic est défavorable en cas de séjour en Suisse après sa libération anticipée, alors qu'il serait plus favorable en cas de retour dans son pays d'origine (arrêts du Tribunal fédéral 6A.78/2000 du</w:t>
      </w:r>
    </w:p>
    <w:p>
      <w:r>
        <w:rPr>
          <w:b/>
        </w:rPr>
        <w:t>E. 2.2.3</w:t>
      </w:r>
    </w:p>
    <w:p>
      <w:r>
        <w:t>et AARP/14/2014 du 8 janvier 2014 consid. 2.2.3) ou dans un État tiers, ce qui est le cas, par exemple, pour le détenu étranger dont l'infraction est notamment liée à des problèmes d'intégration. Même si l'on peut admettre que l'étranger au bénéfice d'une libération conditionnelle quitte la Suisse, l'évaluation du succès ou de l'échec de sa mise à l'épreuve dans un pays tiers reste, le plus souvent illusoire, faute d'informations précises. Ceci ne devrait toutefois pas entraîner une situation plus défavorable pour le détenu étranger. Enfin, il faut bien considérer que dans l'hypothèse d'un échec de la mise à l'épreuve, mais en dehors du territoire suisse, une révocation de la libération conditionnelle ne pourrait pas vraiment être suivie d'effets. Cette situation, dans certains cas limites, pourrait donc bien justifier une pratique restrictive de l'octroi de la libération conditionnelle (A. BAECHTOLD, op. cit., p. 269 et 270; ACPR/252/2017 du 13 avril 2017 consid. 3.1).</w:t>
      </w:r>
    </w:p>
    <w:p>
      <w:r>
        <w:rPr>
          <w:b/>
        </w:rPr>
        <w:t>E. 2.3</w:t>
      </w:r>
    </w:p>
    <w:p>
      <w:r>
        <w:t>En l'espèce, la condition objective d'une libération conditionnelle est réalisée et le recourant bénéficie du préavis positif de l'établissement de détention. Le SAPEM et le Ministère public sont favorables à une libération conditionnelle avec effet au jour du renvoi du recourant pour la Jamaïque. Ce dernier n'a, en outre, jamais bénéficié de la libération conditionnelle. Le TAPEM a retenu que le pronostic était fort défavorable faute d'un travail de réflexion de l'intéressé sur son potentiel de violence, notamment au sein du milieu intrafamilial, au vu de l'appréciation de la CED et de ses projets de poursuivre sa vie en Suisse ou de s'établir en France, alors même que sa situation administrative ne le permettait pas. Le SAPEM a cependant relevé que si le pronostic pénal n'était pas optimal, il n'apparaissait pas non plus défavorable et que le maintien de A_____ en détention n'apporterait quant à lui aucune plus-value à sa situation.</w:t>
      </w:r>
    </w:p>
    <w:p>
      <w:r>
        <w:t>- 8/10 - PM/252/2020 Par contre, une libération conditionnelle suspendue au renvoi en Jamaïque améliorerait le pronostic dès lors que les chances de réinsertion de A_____ dans son pays d'origine étaient meilleures qu'en Suisse. En outre, comme l'a relevé le SAPEM, le solde de peine de près de deux ans et demi à subir en cas de révocation de la libération conditionnelle paraît suffisamment important pour le détourner de la commission de nouvelles infractions en Suisse. Son renvoi vers son pays d'origine ne paraît, en outre, plus improbable. Dans ces conditions, on peut estimer que le pronostic n'est pas défavorable, au sens des principes sus-évoqués, et que la libération conditionnelle du recourant avec effet au jour de son renvoi effectif peut être ordonnée.</w:t>
      </w:r>
    </w:p>
    <w:p>
      <w:r>
        <w:rPr>
          <w:b/>
        </w:rPr>
        <w:t>E. 3</w:t>
      </w:r>
    </w:p>
    <w:p>
      <w:r>
        <w:t>Fondé, le recours doit être admis ; partant, le jugement querellé sera annulé et la libération conditionnelle de A_____ ordonnée avec effet au jour de son renvoi effectif</w:t>
      </w:r>
    </w:p>
    <w:p>
      <w:r>
        <w:rPr>
          <w:b/>
        </w:rPr>
        <w:t>E. 4</w:t>
      </w:r>
    </w:p>
    <w:p>
      <w:r>
        <w:t>L'admission du recours ne donne pas lieu à la perception de frais (art. 428 al. 1 CPP).</w:t>
      </w:r>
    </w:p>
    <w:p>
      <w:r>
        <w:rPr>
          <w:b/>
        </w:rPr>
        <w:t>E. 5</w:t>
      </w:r>
    </w:p>
    <w:p>
      <w:r>
        <w:t>Nommé d'office dans la présente procédure, le conseil du recourant a droit à une indemnité pour la procédure de recours (art. 135 al. 2 CPP). En l'absence d'état de frais, l'indemnité sera fixée à CHF 861.60 (TVA à 7.7 % comprise), correspondant à 4 heures d'activité au tarif horaire de chef d'étude selon l'art. 16 al. 1 let. c RAJ, pour la rédaction d'un recours de 6 pages (pages de garde et de conclusion comprises). * * * * *</w:t>
      </w:r>
    </w:p>
    <w:p>
      <w:r>
        <w:t>- 9/10 - PM/252/2020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