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ACPR/356/2020 vom 3. Februar 2020</w:t>
      </w:r>
    </w:p>
    <w:p>
      <w:r>
        <w:t>GE Cour de justice, 2020-02-03, FR</w:t>
      </w:r>
    </w:p>
    <w:p>
      <w:r>
        <w:rPr>
          <w:b/>
        </w:rPr>
        <w:t xml:space="preserve">Quelle: </w:t>
      </w:r>
      <w:r>
        <w:t>https://mcp.opencaselaw.ch/entscheid/ge_gerichte_ACPR_356_2020</w:t>
      </w:r>
    </w:p>
    <w:p>
      <w:r>
        <w:t>FR: GE_GERICHTE ACPR/356/2020 du 3 février 2020</w:t>
      </w:r>
    </w:p>
    <w:p>
      <w:r>
        <w:t>IT: GE_GERICHTE ACPR/356/2020 del 3 febbraio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310 al. 2, 322 al. 3 et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fait grief au Ministère public de ne pas s'être exprimé sur l'infraction de tentative de contrainte. On doit admettre que le Ministère public a fourni cette motivation dans ses observations seulement. Le recourant a eu l'occasion de s'exprimer à ce sujet, mais s'est limité à répliquer au mis en cause. Dans ces circonstances, un renvoi au Ministère public pour qu'il réitère, selon toute vraisemblance, la position prise dans ses observations serait un inutile détour</w:t>
      </w:r>
    </w:p>
    <w:p>
      <w:r>
        <w:t>- 4/10 - P/17324/2019 procédural. La violation alléguée a d'autant moins de conséquence concrète que la Chambre de céans possède un plein pouvoir d'examen (art. 391 CPP).</w:t>
      </w:r>
    </w:p>
    <w:p>
      <w:r>
        <w:rPr>
          <w:b/>
        </w:rPr>
        <w:t>E. 3</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à l'art. 8 CPP imposent de renoncer à l'ouverture d'une poursuite pénale (let. c).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Aux termes de l'art. 8 CPP, le ministère public et les tribunaux renoncent à toute poursuite pénale lorsque le droit fédéral le prévoit, notamment lorsque les conditions visées à l'art. 52 CP sont remplies (al. 1). Cette dernière disposition énonce que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soit notamment les circonstances personnelles de l'auteur, tels que les antécédents, la situation personnelle ou le comportement de l'auteur après l'infraction, mais aussi selon d'autres critères, comme le principe de célérité ou d'autres motifs d'atténuation de la</w:t>
      </w:r>
    </w:p>
    <w:p>
      <w:r>
        <w:t>- 5/10 - P/17324/2019 peine indépendants de la faute (tels que l'écoulement du temps depuis la commission de l'infraction; ATF 135 IV 130 consid. 5.4).</w:t>
      </w:r>
    </w:p>
    <w:p>
      <w:r>
        <w:rPr>
          <w:b/>
        </w:rPr>
        <w:t>E. 4</w:t>
      </w:r>
    </w:p>
    <w:p>
      <w:r>
        <w:t>Le recourant estime que le mis en cause a attenté à son honneur et que les conditions d'une non-entrée en matière n'étaient pas réunies.</w:t>
      </w:r>
    </w:p>
    <w:p>
      <w:r>
        <w:rPr>
          <w:b/>
        </w:rPr>
        <w:t>E. 4.1</w:t>
      </w:r>
    </w:p>
    <w:p>
      <w:r>
        <w:t>Les art. 173 et 174 CP protègent la réputation d'être une personne honorable, c'est-à-dire de se comporter comme une personne digne a coutume de le faire selon les conceptions généralement reçues.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ATF 128 IV 53 consid. 1a p. 57 s. et les références; arrêt du Tribunal fédéral 6B_441/2016 du 29 mars 2017 consid. 4.1).</w:t>
      </w:r>
    </w:p>
    <w:p>
      <w:r>
        <w:rPr>
          <w:b/>
        </w:rPr>
        <w:t>E. 4.2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(ATF 128 IV 53 consid. 1a p. 58 et les arrêts cités). Pour qu'il y ait diffamation, il faut que l'auteur s'adresse à un tiers. Est en principe un tiers au sens des art. 173 et 174 CP toute personne autre que l'auteur et l'objet des propos qui portent atteinte à l'honneur, par exemple l'avocat de l'auteur, les magistrats (ATF 86 IV 209 et références citées). Cette jurisprudence a été maintenue récemment (ATF 145 IV 462 consid. 4.3.4 p. 468 s.).</w:t>
      </w:r>
    </w:p>
    <w:p>
      <w:r>
        <w:rPr>
          <w:b/>
        </w:rPr>
        <w:t>E. 4.3</w:t>
      </w:r>
    </w:p>
    <w:p>
      <w:r>
        <w:t>La calomnie (art. 174 CP) est une forme qualifiée de diffamation (art. 173 CP), dont elle se distingue en ceci que les allégations attentatoires à l'honneur sont fausses, que l'auteur doit avoir eu connaissance de la fausseté de ses allégations et qu'il n'y a dès lors pas place pour les preuves libératoires prévues dans le cas de la diffamation.</w:t>
      </w:r>
    </w:p>
    <w:p>
      <w:r>
        <w:t>- 6/10 - P/17324/2019</w:t>
      </w:r>
    </w:p>
    <w:p>
      <w:r>
        <w:rPr>
          <w:b/>
        </w:rPr>
        <w:t>E. 4.4</w:t>
      </w:r>
    </w:p>
    <w:p>
      <w:r>
        <w:t>Se rend coupable d'injure celui qui aura, par la parole, l'écriture, l'image, le geste ou par des voies de fait, attaqué autrui dans son honneur (art. 177 al. 1 CP). Cette infraction est subsidiaire par rapport à la diffamation (art. 173 CP) ou à la calomnie (art. 174 CP). Alors que la diffamation (art. 173 CP) ou la calomnie (art. 174 CP) supposent une allégation de fait, un jugement de valeur, adressé à des tiers ou à la victime, peut constituer une injure. La notion de jugement de valeur doit être comprise dans un sens large; il s'agit d'une manifestation directe de mésestime ou de mépris, au moyen de mots blessants, de gestes ou de voies de fait (ATF 137 IV 313 consid. 2.1.2 p. 315). L'honneur protégé correspond alors à un droit au respect formel, ce qui conduit à la répression des injures dites formelles, tels une expression outrageante, des termes de mépris ou des invectives (ATF 128 IV 53 consid. I/A/1/f/aa, p. 61 et les références citées; arrêts du Tribunal fédéral 6B_794/2007 du 14 avril 2008 consid. 3.1. et 6B_811/2007 du 25 février 2008 consid. 4.2.). La marque de mépris doit revêtir une certaine gravité, excédant ce qui est acceptable (arrêts du Tribunal fédéral 6B_229/2016 du 8 juin 2016 consid. 2.1.2; 6B_557/2013 du 12 septembre 2013 consid. 1.1 et les références, in SJ 2014 I 293). Se faire traiter de con est une injure (ACPR/459/2012 du 22 octobre 2012 consid. 3.2), tout comme l'expression "va te faire f…" (cf. arrêt du Tribunal fédéral 6B_1149/2019 du 15 janvier 2020 consid. 2.2. et 2.5.).</w:t>
      </w:r>
    </w:p>
    <w:p>
      <w:r>
        <w:rPr>
          <w:b/>
        </w:rPr>
        <w:t>E. 4.5</w:t>
      </w:r>
    </w:p>
    <w:p>
      <w:r>
        <w:t>En l'espèce, le contexte dans lequel auraient été tenus les propos prêtés au mis en cause – qui nie les avoir tenus – est déterminant. L'emportement, admis en tant que tel, du mis en cause s'est manifesté au sortir d'une audience de conciliation qui n'a, de toute évidence, pas été fructueuse, puisque le recourant s'est vu délivrer sur-le-champ l'autorisation de procéder et que le mis en cause a déposé le même jour une réquisition de poursuite montrant qu'il estimait sa société créancière de dividendes dus par la société détenue par le recourant. Dans ces circonstances particulières, la gravité des atteintes à l'honneur reprochées, si elles ont été proférées, peut et doit être relativisée. La réaction du mis en cause, telle que la stigmatise le recourant, fut celle d'un vif dépit, sans qu'on y voie de culpabilité particulière de sa part ni de conséquence importante pour le recourant, au sens de l'art. 52 CP. À cet égard, le mis en cause objecte, non sans fondement, que son éclat verbal n'a pas particulièrement heurté le recourant, puisque celui-ci affirme avoir continué son chemin sans répondre et n'a fait écrire par son avocat, en réaction immédiate, qu'une exhortation à s'abstenir dorénavant "de tels exploits oratoires". On ne voit pas quel geste le mis en cause aurait pu joindre à ses paroles si les choses n'en étaient pas restées là. Le seul acte avéré semble bien avoir été la réquisition de poursuite. Par ailleurs, le recourant axe ses griefs sur le caractère impératif de la poursuite, au sens de l'art. 7 al. 1 CPP, alors que l'art. 8 CPP apporte un tempérament à ce principe, qui permet expressément de renoncer à l'action publique sous certaines conditions (A. KUHN / Y. JEANNERET / C. PERRIER DEPEURSINGE (éds), Commentaire</w:t>
      </w:r>
    </w:p>
    <w:p>
      <w:r>
        <w:t>- 7/10 - P/17324/2019 romand : Code de procédure pénale suisse, 2e Bâle 2019, n. 15 ad art. 310). Le recourant n'a du reste pas répliqué aux développements du Ministère public sur ce point, qui peuvent être approuvés.</w:t>
      </w:r>
    </w:p>
    <w:p>
      <w:r>
        <w:rPr>
          <w:b/>
        </w:rPr>
        <w:t>E. 5</w:t>
      </w:r>
    </w:p>
    <w:p>
      <w:r>
        <w:t>Le recourant s'estime victime d'une tentative de contrainte, en ce sens que le mis en cause avait pour but de le faire mettre un terme aux actions qu'il avait entreprises.</w:t>
      </w:r>
    </w:p>
    <w:p>
      <w:r>
        <w:rPr>
          <w:b/>
        </w:rPr>
        <w:t>E. 5.1</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Lorsque la victime ne se laisse pas intimider et n'adopte pas le comportement voulu par l'auteur, ce dernier est punissable de tentative de contrainte (art. 22 al. 1 CP; ATF 129 IV 262 consid. 2.7;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rPr>
          <w:b/>
        </w:rPr>
        <w:t>E. 5.2</w:t>
      </w:r>
    </w:p>
    <w:p>
      <w:r>
        <w:t>En l'espèce, le recourant n'explicite pas de quel dommage "autrement plus sérieux et grave" qu'un recouvrement de créance il était menacé de façon elliptique par le mis en cause. L'expression "ça va mal finir" ne peut être artificiellement dissociée des mots qui, selon le recourant lui-même, la précédaient immédiatement. Or, le mis en cause n'a jamais fait référence qu'à l'obtention de ce qu'il estimait lui être dû (ou à sa société), et il a introduit une poursuite pour dettes le même jour qu'il était convoqué au tribunal. En choisissant ce moyen – licite –, il a montré que ses paroles au sortir de l'audience de conciliation n'auraient pas la portée que craignait le recourant. Il est significatif, à ce sujet, que le mis en cause ait expliqué à la police,</w:t>
      </w:r>
    </w:p>
    <w:p>
      <w:r>
        <w:t>- 8/10 - P/17324/2019 sans avoir été contredit, qu'il avait obtenu le paiement de la somme qu'il réclamait par voie de poursuite et que ce résultat était dû à une médiation. Cette issue tend à montrer non seulement que le recourant apparaît avoir été effectivement son débiteur, mais encore que les propos tenus envers celui-ci ne pouvaient raisonnablement pas s'interpréter dans le sens d'une pression inadmissible et punissable pour un désistement de l'action engagée devant le tribunal (ou pour la renonciation illégitime à d'autres actions, non explicitées dans la procédure).</w:t>
      </w:r>
    </w:p>
    <w:p>
      <w:r>
        <w:rPr>
          <w:b/>
        </w:rPr>
        <w:t>E. 6</w:t>
      </w:r>
    </w:p>
    <w:p>
      <w:r>
        <w:t>Justifiée, l'ordonnance querellée sera donc confirmée, sans qu'il soit besoin d'entendre des témoins pour départager, si faire se peut, les versions divergentes qui s'affrontent.</w:t>
      </w:r>
    </w:p>
    <w:p>
      <w:r>
        <w:rPr>
          <w:b/>
        </w:rPr>
        <w:t>E. 7</w:t>
      </w:r>
    </w:p>
    <w:p>
      <w:r>
        <w:t>Le recourant, qui succombe, supportera les frais envers l'État, qui seront fixés en totalité à CHF 900.- (art. 428 al. 1 CPP et 13 al. 1 du Règlement fixant le tarif des frais en matière pénale, RTFMP; E 4 10.03).</w:t>
      </w:r>
    </w:p>
    <w:p>
      <w:r>
        <w:rPr>
          <w:b/>
        </w:rPr>
        <w:t>E. 8</w:t>
      </w:r>
    </w:p>
    <w:p>
      <w:r>
        <w:t>Le mis en cause, qui obtient satisfaction, demande l'indemnisation de ses frais d'avocat pour l'instance de recours, à hauteur de CHF 1'600.- représentant 4 heures de travail. Ce tarif horaire est admis par la Cour pénale (ACPR/295/2020 du 8 mai 2020 consid. 6.2.), et le temps consacré apparaît raisonnable. L'indemnité réclamée sera par conséquent allouée, à la charge de l'État (ATF 141 IV 476 consid. 1.2 p. 479). * * * * *</w:t>
      </w:r>
    </w:p>
    <w:p>
      <w:r>
        <w:t>- 9/10 - P/17324/2019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