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ACPR/355/2021 vom 9. Februar 2021</w:t>
      </w:r>
    </w:p>
    <w:p>
      <w:r>
        <w:t>GE Cour de justice, 2021-02-09, FR</w:t>
      </w:r>
    </w:p>
    <w:p>
      <w:r>
        <w:rPr>
          <w:b/>
        </w:rPr>
        <w:t xml:space="preserve">Quelle: </w:t>
      </w:r>
      <w:r>
        <w:t>https://mcp.opencaselaw.ch/entscheid/ge_gerichte_ACPR_355_2021</w:t>
      </w:r>
    </w:p>
    <w:p>
      <w:r>
        <w:t>FR: GE_GERICHTE ACPR/355/2021 du 9 février 2021</w:t>
      </w:r>
    </w:p>
    <w:p>
      <w:r>
        <w:t>IT: GE_GERICHTE ACPR/355/2021 del 9 febbraio 2021</w:t>
      </w:r>
    </w:p>
    <w:p>
      <w:pPr>
        <w:pStyle w:val="Heading2"/>
      </w:pPr>
      <w:r>
        <w:t>Erwägungen</w:t>
      </w:r>
    </w:p>
    <w:p>
      <w:r>
        <w:rPr>
          <w:b/>
        </w:rPr>
        <w:t>E. 1</w:t>
      </w:r>
    </w:p>
    <w:p>
      <w:r>
        <w:t>En tant qu'ils ont été interjetés contre deux actes au contenu similaire et ont trait au même complexe de faits, les deux recours seront joints et la Chambre de céans statuera par un seul et même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du prévenu, partie à la procédure (art. 104 al. 1 let. a CPP), et de la société tierce saisie (art. 105 al. 1 let. f et al. 2 CPP), qui ont qualité pour agir, ayant un intérêt juridiquement protégé à la modification ou à l'annulation de la décision querellée (art. 382 al. 1 CPP).</w:t>
      </w:r>
    </w:p>
    <w:p>
      <w:r>
        <w:rPr>
          <w:b/>
        </w:rPr>
        <w:t>E. 3</w:t>
      </w:r>
    </w:p>
    <w:p>
      <w:r>
        <w:t>Les recourants reprochent au Ministère public d'avoir établi les faits de manière erronée.</w:t>
      </w:r>
    </w:p>
    <w:p>
      <w:r>
        <w:rPr>
          <w:b/>
        </w:rPr>
        <w:t>E. 3.1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w:t>
      </w:r>
    </w:p>
    <w:p>
      <w:r>
        <w:t>- 9/14 - P/5957/2021 comment le droit a été appliqué (Y. JEANNERET / A. KUHN / C. PERRIER DEPEURSINGE (éds), Commentaire romand : Code de procédure pénale suisse, 2ème éd., Bâle 2019, n. 17 ad art. 393 ; ACPR/609/2015 du 11 novembre 2015 consid. 3.1.1).</w:t>
      </w:r>
    </w:p>
    <w:p>
      <w:r>
        <w:rPr>
          <w:b/>
        </w:rPr>
        <w:t>E. 3.2</w:t>
      </w:r>
    </w:p>
    <w:p>
      <w:r>
        <w:t>En l'espèce, les recourants reprochent au Ministère public d'avoir retenu, dans la première ordonnance, que B______ se livrerait à un trafic de stupéfiants en se fondant uniquement sur les déclarations du propriétaire des locaux selon lesquelles les infrastructures avaient été modifiées, alors que lesdites modifications avaient pour principal but d'éviter les vols et, dans la seconde ordonnance, d'avoir ordonné le séquestre sur la base d'une confusion faite par la police entre le pollen de CBD et la résine de cannabis. En l'occurrence, le Ministère public a ordonné la première perquisition sur la base d'une observation policière et la seconde par suite de la découverte de briquettes ayant l'apparence de résine de cannabis. En expliquant les raisons des modifications apportées aux locaux et en alléguant que les substances retrouvées ne seraient pas illicites, les recourants s’en prennent en réalité à la motivation des ordonnances en cause, griefs pertinents sur le fond (cf. supra 4.3. et 5.2). Le Ministère public n’a donc nullement constaté les faits de manière inexacte. Le recours est donc infondé sur ce point.</w:t>
      </w:r>
    </w:p>
    <w:p>
      <w:r>
        <w:rPr>
          <w:b/>
        </w:rPr>
        <w:t>E. 4</w:t>
      </w:r>
    </w:p>
    <w:p>
      <w:r>
        <w:t>Les recourants reprochent au Ministère public d’avoir ordonné la perquisition litigieuse sans le consentement de B______, et ce alors que les soupçons n’étaient pas suffisants.</w:t>
      </w:r>
    </w:p>
    <w:p>
      <w:r>
        <w:rPr>
          <w:b/>
        </w:rPr>
        <w:t>E. 4.1</w:t>
      </w:r>
    </w:p>
    <w:p>
      <w:r>
        <w:t>Les mandats de perquisition sont des prononcés au sens de l'art. 80 CPP et, à ce titre, doivent être rendus par écrit, motivés et signés par l'autorité qui les a prononcés et notifiés aux parties (art. 241 al. 1 CPP; A. KUHN / Y. JEANNERET (éds), Commentaire romand : Code de procédure pénale suisse, Bâle 2011, N. 15 ad art. 241). En cas d'urgence, la perquisition peut être ordonnée par oral – notamment téléphoniquement – par le Ministère public, mais doit être confirmée par écrit (art. 241 al. 1 CPP).</w:t>
      </w:r>
    </w:p>
    <w:p>
      <w:r>
        <w:rPr>
          <w:b/>
        </w:rPr>
        <w:t>E. 4.2</w:t>
      </w:r>
    </w:p>
    <w:p>
      <w:r>
        <w:t>La perquisition se définit comme la recherche, en tout lieu clos, de moyens de preuve pouvant aider à la manifestation de la vérité (L. MOREILLON / A. PAREIN- REYMOND, Petit commentaire CP, Bâle 2016., N. 2 ad art. 244 et les références). Les bâtiments, les habitations et autres locaux non publics ne peuvent être perquisitionnés qu’avec le consentement de l’ayant droit. Le consentement de l’ayant droit n’est pas nécessaire s’il y a notamment lieu de présumer que, dans ces locaux,</w:t>
      </w:r>
    </w:p>
    <w:p>
      <w:r>
        <w:t>- 10/14 - P/5957/2021 se trouvent des traces, des objets ou des valeurs patrimoniales susceptibles d’être séquestrés, ou que des infractions sont commises (art. 244 al. 1 et al. 2 let. b et c CPP). Comme toutes mesures de contrainte, la perquisition ne peut être prise qu'aux conditions prévues à l'art. 197 CPP, à savoir qu'elle est prévue par la loi (let. a), que des soupçons suffisants laissent présumer une infraction (let. b), que les buts poursuivis ne peuvent pas être atteints par des mesures moins sévères (let. c) et qu'elle apparaît justifiée au regard de la gravité de l'infraction (let. d). L'art. 197 CPP précité prohibe la recherche indéterminée de preuve ou "fishing expedition", qui serait sans rapport avec l'infraction commise dans le but de trouver des indices avec l'infraction. Si le mandat de perquisition doit par conséquent indiquer le but de la mesure, il n'est, en revanche, pas nécessaire d'indiquer dans quelle mesure les actes ordonnés et les moyens de preuve recherchés sont en rapport avec l'infraction poursuivie et manifestement propres à faire progresser l'enquête (L. MOREILLON / A. PAREIN-REYMOND, op. cit., N. 6 ad art. 241; contra, A. KUHN / Y. JEANNERET, op. cit., N 18 ad art. 241).</w:t>
      </w:r>
    </w:p>
    <w:p>
      <w:r>
        <w:rPr>
          <w:b/>
        </w:rPr>
        <w:t>E. 4.3</w:t>
      </w:r>
    </w:p>
    <w:p>
      <w:r>
        <w:t>En l'espèce, la perquisition ordonnée oralement par le Ministère public le 8 février 2021 dans les locaux sis route 1______ [no.] ______, fait suite à la mise en place d’observations en ce lieu, à l’issue desquelles la police a suspecté un trafic de stupéfiants, en raison des odeurs de marijuana et des modifications apportées aux locaux. Que la police ait préalablement reçu des doléances de tiers n'y change rien, puisqu'elle a requis du Ministère public qu'il ordonne la perquisition sur la base de ses propres constatations et une enquête de voisinage. À noter qu'avant de requérir l'autorisation de perquisitionner, la police a tenté, en vain, de joindre B______ et D______, ce dernier n'ayant pas souhaité se déplacer. La perquisition du local sis route 2______ [no.] ______ a été ordonnée par le Ministère public compte tenu de la proximité avec le premier local, où des substances à l'apparence illégale avaient été découvertes par suite de la première perquisition, et du fait que B______ le sous-louait également. Il s'ensuit que des soupçons suffisants existaient quant à la commission d'infractions à la LStup dans les locaux perquisitionnés, de sorte que les mesures attaquées pouvaient à bon droit être ordonnées sans l'accord des recourants. Les ordres de perquisition oraux donnés à la police par le Ministère public – confirmés par la suite par écrit – sont ainsi parfaitement légaux.</w:t>
      </w:r>
    </w:p>
    <w:p>
      <w:r>
        <w:rPr>
          <w:b/>
        </w:rPr>
        <w:t>E. 5</w:t>
      </w:r>
    </w:p>
    <w:p>
      <w:r>
        <w:t>Les recourants exposent que les soupçons n’étaient pas suffisants pour ordonner les séquestres litigieux, subsidiairement que ceux-ci seraient disproportionnés compte tenu des explications apportées.</w:t>
      </w:r>
    </w:p>
    <w:p>
      <w:r>
        <w:rPr>
          <w:b/>
        </w:rPr>
        <w:t>E. 5.1</w:t>
      </w:r>
    </w:p>
    <w:p>
      <w:r>
        <w:t>Selon l'art. 263 al. 1 CPP, des objets et valeurs patrimoniales appartenant au prévenu ou à des tiers peuvent être mis sous séquestre, notamment, lorsqu'il est</w:t>
      </w:r>
    </w:p>
    <w:p>
      <w:r>
        <w:t>- 11/14 - P/5957/2021 probable qu'ils seront utilisés comme moyens de preuves (let. a) ou serviront à garantir le paiement des frais de procédure, des peines pécuniaires et amendes (art. 268 al. 1 CP).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1P_94/1990 du 15 juin 1990). L'autorité doit pouvoir décider rapidement du séquestre (art. 263 al. 2 CPP), ce qui exclut qu'elle résolve des questions juridiques complexes ou qu'elle attende d'être renseignée de manière exacte et complète sur les faits avant d'agir (ATF 116 Ib 96 consid. 3a;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 La saisie probatoire (art. 263 al. 1 let. a CPP) sert à réunir et à retenir les objets ou valeurs dont la vision ou l'examen peuvent être utiles à la manifestation de la vérité en rapport avec l'infraction poursuivie et les pièces qui peuvent servir à la conviction du magistrat instructeur.</w:t>
      </w:r>
    </w:p>
    <w:p>
      <w:r>
        <w:rPr>
          <w:b/>
        </w:rPr>
        <w:t>E. 5.2</w:t>
      </w:r>
    </w:p>
    <w:p>
      <w:r>
        <w:t>En l’occurrence, B______ est soupçonné d’infraction à l’art. 19 al. 1 LStup. Selon les premières constatations de la police, l’échantillon de marchandise saisie le</w:t>
      </w:r>
    </w:p>
    <w:p>
      <w:r>
        <w:rPr>
          <w:b/>
        </w:rPr>
        <w:t>E. 5.3</w:t>
      </w:r>
    </w:p>
    <w:p>
      <w:r>
        <w:t>En revanche, l'écoulement du temps soulève la question du respect du principe de la proportionnalité de la mesure, le recourant étant privé, depuis le 11 février 2021, de ses locaux professionnels en raison du fait que les grandes quantités de substances saisies ont été laissées sur place. Si l'analyse des matières que le Ministère public soupçonne être de la résine de cannabis et/ou du cannabis à plus de 1% de THC nécessite un certain délai, le séquestre est intervenu il y a plus de trois mois. Quand bien même cette durée n'apparait pas disproportionnée à ce stade, il sera néanmoins enjoint au Ministère public d'obtenir dans les meilleurs délais les résultats des analyses demandées par la police à la BPTS. 6. En tant que les recourants souhaitent la restitution de matériel ou de véhicules (motos et scooters) appartenant à l'épouse du recourant et à une société tierce, ils n'ont pas la qualité pour agir, n'en étant pas propriétaires. Il appartient aux intéressés, tiers saisis, de réclamer, s'ils s'y estiment fondés, la restitution de leurs biens. 7. La demande d'indemnisation pour dommage économique formée par le recourant ne sera pas examinée, faute pour ce dernier de remplir la condition de l'art. 429 al. 1 CPP, soit d'avoir été acquitté ou de bénéficier d'une ordonnance de classement.</w:t>
      </w:r>
    </w:p>
    <w:p>
      <w:r>
        <w:rPr>
          <w:b/>
        </w:rPr>
        <w:t>E. 8</w:t>
      </w:r>
    </w:p>
    <w:p>
      <w:r>
        <w:t>Infondés, les recours seront donc rejetés et les ordonnances confirmées.</w:t>
      </w:r>
    </w:p>
    <w:p>
      <w:r>
        <w:rPr>
          <w:b/>
        </w:rPr>
        <w:t>E. 9</w:t>
      </w:r>
    </w:p>
    <w:p>
      <w:r>
        <w:t>Les recourants, qui succombent, supporteront, conjointement et solidairement les frais envers l'État, fixés en totalité à CHF 1'500.- pour les deux recours (art. 428 al. 1 CPP et 13 al. 1 du Règlement fixant le tarif des frais en matière pénale, RTFMP ; E 4 10.03). * * * * *</w:t>
      </w:r>
    </w:p>
    <w:p>
      <w:r>
        <w:t>- 13/14 - P/5957/2021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