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ACPR/355/2020 vom 13. Februar 2020</w:t>
      </w:r>
    </w:p>
    <w:p>
      <w:r>
        <w:t>GE Cour de justice, 2020-02-13, FR</w:t>
      </w:r>
    </w:p>
    <w:p>
      <w:r>
        <w:rPr>
          <w:b/>
        </w:rPr>
        <w:t xml:space="preserve">Quelle: </w:t>
      </w:r>
      <w:r>
        <w:t>https://mcp.opencaselaw.ch/entscheid/ge_gerichte_ACPR_355_2020</w:t>
      </w:r>
    </w:p>
    <w:p>
      <w:r>
        <w:t>FR: GE_GERICHTE ACPR/355/2020 du 13 février 2020</w:t>
      </w:r>
    </w:p>
    <w:p>
      <w:r>
        <w:t>IT: GE_GERICHTE ACPR/355/2020 del 13 febbraio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un intérêt juridiquement protégé à la modification ou à l'annulation de la décision querellée (art. 382 al. 1 CPP).</w:t>
      </w:r>
    </w:p>
    <w:p>
      <w:r>
        <w:rPr>
          <w:b/>
        </w:rPr>
        <w:t>E. 2.1</w:t>
      </w:r>
    </w:p>
    <w:p>
      <w:r>
        <w:t>À teneur de l'art. 29 CPP, les infractions sont poursuivies et jugées conjointement lorsqu'un prévenu a commis plusieurs infractions (al. 1 let. a) ou s'il y a plusieurs coauteurs ou participants (al. 1 let. b).</w:t>
      </w:r>
    </w:p>
    <w:p>
      <w:r>
        <w:t>- 4/7 - P/10305/2019 L'art. 29 CPP peut être considéré comme une règle d'ordre. La stricte mise en œuvre du principe d'unité est trop souvent aléatoire et les personnes poursuivies ne pourront pas invoquer ce principe pour en tirer un véritable droit (A. KUHN / Y. JEANNERET / C. PERRIER DEPEURSINGE (éds), Commentaire romand : Code de procédure pénale suisse, Bâle 2019, n. 4 ad art. 29). Le principe d'unité de la procédure découle déjà de l'art. 49 CP et, sous réserve d'exceptions, s'applique à toutes les situations où plusieurs infractions, respectivement plusieurs personnes, doivent être jugées ensemble (A. KUHN / Y. JEANNERET / C. PERRIER DEPEURSINGE (éds), Bâle 2019, op. cit., n. 1 ad art. 29). Ce principe tend à éviter les jugements contradictoires quant à l'état de fait, l'appréciation juridique ou la quotité de la peine. Il sert en outre l'économie de la procédure (ATF 138 IV 214 consid. 3 ; 138 IV 29 consid. 3.2). Une étroite connexité entre les infractions plaide pour une jonction (ATF 138 IV 29 consid. 5.5 = JdT 2012 IV 185). En vertu de la règle de l'unité des poursuites, les infractions commises en concours doivent être réprimées dans un seul et même jugement et un seul juge doit se prononcer sur l'ensemble des faits qui peuvent être reprochés à un délinquant. Cette solution permet d'éviter la multitude de jugements rendus à l'encontre du même prévenu, le prononcé d'une peine complémentaire ou peine d'ensemble, ainsi que des frais liés à toute nouvelle procédure (L. MOREILLON / A. PAREIN-REYMOND, Code de procédure pénale - Petit commentaire, 2ème édition, Bâle 2016, n. 3 ad art. 29). L’art. 29 al. 1 let. b CPP vise, à côté de la qualité de coauteur, également celle d’auteur médiat et de participant accessoire. L’instigation au sens de l’art. 24 CP et la complicité d’après l’art. 25 CP tombent sous la définition de la participation (ATF 138 IV 29 consid. 3.2.).</w:t>
      </w:r>
    </w:p>
    <w:p>
      <w:r>
        <w:rPr>
          <w:b/>
        </w:rPr>
        <w:t>E. 2.2</w:t>
      </w:r>
    </w:p>
    <w:p>
      <w:r>
        <w:t>Selon l’art. 30 CPP, si des raisons objectives le justifient, le Ministère public et les tribunaux peuvent ordonner la jonction ou la disjonction de procédures pénales. À titre d'exemples de cas d'application de l'exception de l'art. 30 CPP, l'on peut citer la violation du principe de célérité ou le fait que certains prévenus soient sur le point d'être jugés et pas d'autres. Cette possibilité entraîne une extension de l’unité de la procédure à des situations qui ne sont pas incluses dans l’art. 29 CPP. Une étroite connexité entre différentes infractions plaide en particulier pour une jonction au sens de l’art. 30 CPP. Une telle connexité est notamment donnée, lorsque des participants s’accusent mutuellement d’infractions qui auraient été commises dans le cadre d’un même conflit (ATF 138 IV 29 consid. 5.5. = JdT 2012 IV 85 consid. 5.5 ; ACPR/654/2016 du 13 octobre 2016).</w:t>
      </w:r>
    </w:p>
    <w:p>
      <w:r>
        <w:t>- 5/7 - P/10305/2019</w:t>
      </w:r>
    </w:p>
    <w:p>
      <w:r>
        <w:rPr>
          <w:b/>
        </w:rPr>
        <w:t>E. 2.3</w:t>
      </w:r>
    </w:p>
    <w:p>
      <w:r>
        <w:t>En l'espèce, la décision de disjonction se justifie pleinement au vu des différences existant, cumulativement, entre le prévenu de menace et de voies de faits et les auteurs, non identifiés, des prétendues escroquerie et violation du devoir de fonction. Même s'il soutient que le complexe de faits est le même, le recourant ne prétend pas, au contraire, que B_____ serait auteur d'une manière ou d'une autre d'escroquerie ou de violation du secret de fonction, tout au plus serait-il lui-même "victime de contrainte" de la part du DIP, selon le recourant, mais ce n'est pas à ce dernier à agir pour le premier. L'avancement de l'instruction de ces plaintes en est à des stades différents, le prévenu ayant déjà été entendu par le Ministère public et ayant en substance reconnu les faits. Le recourant pourrait demander l'audition des témoins s'il l'estimait nécessaire et rien ne l'empêcherait de demander celle de B_____ dans la procédure disjointe. Le recours s'avère ainsi infondé.</w:t>
      </w:r>
    </w:p>
    <w:p>
      <w:r>
        <w:rPr>
          <w:b/>
        </w:rPr>
        <w:t>E. 3</w:t>
      </w:r>
    </w:p>
    <w:p>
      <w:r>
        <w:t>Le recourant, qui succombe, supportera les frais envers l'État, qui seront fixés en totalité à CHF 900.- (art. 428 al. 1 CPP et 13 al. 1 du Règlement fixant le tarif des frais en matière pénale, RTFMP; E 4 10.03). * * * * *</w:t>
      </w:r>
    </w:p>
    <w:p>
      <w:r>
        <w:t>- 6/7 - P/10305/2019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