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ACPR/34/2026 vom 15. Dezember 2025</w:t>
      </w:r>
    </w:p>
    <w:p>
      <w:r>
        <w:t>GE Cour de justice, 2025-12-15, FR</w:t>
      </w:r>
    </w:p>
    <w:p>
      <w:r>
        <w:rPr>
          <w:b/>
        </w:rPr>
        <w:t xml:space="preserve">Quelle: </w:t>
      </w:r>
      <w:r>
        <w:t>https://mcp.opencaselaw.ch/entscheid/ge_gerichte_ACPR_34_2026</w:t>
      </w:r>
    </w:p>
    <w:p>
      <w:r>
        <w:t>FR: GE_GERICHTE ACPR/34/2026 du 15 décembre 2025</w:t>
      </w:r>
    </w:p>
    <w:p>
      <w:r>
        <w:t>IT: GE_GERICHTE ACPR/34/2026 del 15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à tout le moins s’agissant de certains des faits qui lui sont reprochés.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ne conteste pas l’existence de charges suffisantes s’agissant des faits commis au préjudice de K______, du P______ et de M______, ainsi que de ceux perpétrés dans les cantons d'Argovie et de Saint-Gall, qu’il a pour l'essentiel admis. Il conteste en revanche l’existence de charges suffisantes en lien avec les faits commis au préjudice de D______. Certes, ce dernier a indiqué ne pas être en mesure de reconnaître ses agresseurs et aucune image de surveillance n’a pu être obtenue. Il est vrai également que AA_____ a expliqué que ce n'était pas le recourant, mais un homme l'accompagnant, qui lui avait présenté le permis de conduire de D______ en vue de louer le véhicule. Il n’en demeure pas moins que les documents de celui-ci – qui lui avaient été subtilisés lors de son agression – ont par la suite été utilisés afin de contracter plusieurs abonnements auprès de E______ et de F______ ainsi que pour louer deux véhicules, que le recourant s'est présenté à AA_____ comme un ami ou une</w:t>
      </w:r>
    </w:p>
    <w:p>
      <w:r>
        <w:t>- 13/19 - P/18876/2024 connaissance de D______, qu'il était par ailleurs présent aux côtés de l'individu ayant loué le véhicule au moyen du permis de conduire de D______ et que, selon le représentant de l’entreprise de location, l'individu en question lui avait laissé un numéro de téléphone et un compte Snapchat, lesquels ont pu être attribués au recourant. Ce dernier a par ailleurs été formellement reconnu par I______ comme étant le conducteur fautif lors de l’accident survenu le 3 novembre 2024. De tels éléments sont de nature à fonder des soupçons suffisants à son encontre, nonobstant ses dénégations, et ce, non seulement en ce qui concerne l’accident ayant impliqué le véhicule précité, mais également pour l’ensemble des autres infractions commises au détriment de D______. Partant, c’est à bon droit que le premier juge a retenu l’existence de charges suffisantes pour refuser d'ordonner la libération du recourant.</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bien que l’instruction n’en soit plus à ses prémisses et que de nombreuses audiences – y compris de confrontation – aient déjà eu lieu, d'autres audiences devront encore intervenir, notamment afin de confronter le recourant et V______ à AF_____, troisième auteur présumé des faits perpétrés en Argovie, ou encore à « AK_____ », brièvement mentionnée par V______ lors de son audition par la police argovienne, pour autant qu’elle puisse être identifiée. Il apparait également opportun de confronter le recourant à "AH_____", pour autant que ce dernier puisse être identifié dans un délai raisonnable. En effet, bien que le recourant ait admis l'essentiel des faits commis dans le canton de Saint-Gall, il réfute avoir emporté des valeurs autres que la [voiture de marque] S______ et rejette une partie de la</w:t>
      </w:r>
    </w:p>
    <w:p>
      <w:r>
        <w:t>- 14/19 - P/18876/2024 responsabilité sur son comparse. À cela s'ajoute que des mandats d'actes d'enquête sont en cours afin de tenter de retrouver des images de vidéosurveillance en lien avec les faits commis au préjudice de D______, d'analyser les données contenues dans le téléphone du recourant et d'identifier et d'entendre séparément, en qualité de prévenus, les individus mentionnés dans des courriers datés des 2 avril et 7 novembre 2025. Il ne peut à ce stade être exclu que ces actes d'enquête permettront d’identifier d’autres personnes susceptibles d’être impliquées dans l’un ou l’autre des complexes de faits, voire qu'ils apportent de nouveaux éléments à charge, auxquels le recourant devra ensuite cas échéant être confronté. Il est à cet égard primordial que le recourant ne puisse entrer en contact, ni avec ses coprévenus, ni avec d'autres personnes impliquées et qui n'auraient pas encore été identifiées. Ses dénégations partielles ne sauraient annihiler le risque de collusion, lequel apparait encore très élevé à ce stade de l'instruction au vu des actes d'enquête en cours. C'est donc à bon droit que le TMC a retenu ce risque.</w:t>
      </w:r>
    </w:p>
    <w:p>
      <w:r>
        <w:rPr>
          <w:b/>
        </w:rPr>
        <w:t>E. 4</w:t>
      </w:r>
    </w:p>
    <w:p>
      <w:r>
        <w:t>Le recourant conteste tout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w:t>
      </w:r>
    </w:p>
    <w:p>
      <w:r>
        <w:t>- 15/19 - P/18876/2024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l'espèce, aucun élément nouveau ne permet de considérer que le risque de réitération, déjà retenu par la Chambre de céans dans son arrêt du 30 octobre 2025, se serait amoindri. Comme relevé à cette occasion, le recourant a déjà été condamné à six reprises entre mars 2019 et octobre 2024, dont deux fois pour des actes impliquant de la violence, à savoir le 11 mars 2019, pour agression (art. 134 CP), puis le 26 septembre 2023, pour brigandage (art. 140 CP) et tentative de contrainte (art. 181 cum 22 CP). Le fait que ces condamnations aient été prononcées alors que le recourant était encore mineur n'y change rien, ce d'autant qu'elles sont toutes deux relativement récentes. Par ailleurs, comme déjà relevé dans l'arrêt précité, les faits reprochés au recourant dans la présente procédure sont d'une grande gravité. En effet, il est fortement soupçonné d'avoir, le 1er juillet 2024, de concert avec six autres individus, agressé physiquement D______, en l'étranglant, le projetant au sol et lui assenant des coups à la tête, avec les pieds mais également avec une matraque. Il est également fortement soupçonné d’avoir, quelques mois plus tard seulement, de concert avec d’autres individus, participé à une violente attaque contre M______, lors de laquelle ce dernier s’est vu asséner de nombreux coups de pied et de poing sur tout le corps, notamment le crâne, le recourant ayant du reste admis, lors de l'audience du 1er décembre 2025, lui avoir assené six coups au visage. Que le recourant juge les lésions occasionnées de superficielles n'enlève rien à la violence de l'attaque. Bien que ce dernier ait indiqué, lors de cette même audience, ne plus consommer de cannabis et ne pas avoir l'intention d'en reconsommer, force est toutefois de constater qu’il avait précédemment reconnu en consommer, à raison de trois à quatre fois par jour, et qu’il a par ailleurs été condamné à plusieurs reprises pour consommation de stupéfiants, la dernière fois le 15 octobre 2024. De telles circonstances permettent de redouter un risque de récidive et de passage à l’acte, s'il devait être libéré, ce qu'a constaté à bon droit le premier juge.</w:t>
      </w:r>
    </w:p>
    <w:p>
      <w:r>
        <w:t>- 16/19 - P/18876/2024</w:t>
      </w:r>
    </w:p>
    <w:p>
      <w:r>
        <w:rPr>
          <w:b/>
        </w:rPr>
        <w:t>E. 5</w:t>
      </w:r>
    </w:p>
    <w:p>
      <w:r>
        <w:t>Le recourant conteste tout risque de fuite. Cela étant, au vu de l'admission des deux risques sus-évoqués, point n'est besoin d'examiner si un troisième risque – alternatif – s'y ajoute également (arrêts du Tribunal fédéral 7B_144/2025 du 24 mars 2025 consid. 3.3 ; 7B_188/2024 du 12 mars 2024 consid. 6.3.1 et 1B_197/2023 du 4 mai 2023 consid. 4.5).</w:t>
      </w:r>
    </w:p>
    <w:p>
      <w:r>
        <w:rPr>
          <w:b/>
        </w:rPr>
        <w:t>E. 6</w:t>
      </w:r>
    </w:p>
    <w:p>
      <w:r>
        <w:t>Le recourant considère que des mesures de substitution pourraient pallier les risques sus-évoqués.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6.2</w:t>
      </w:r>
    </w:p>
    <w:p>
      <w:r>
        <w:t>En l'occurrence, comme déjà relevé dans l'arrêt du 30 octobre 2025, le cumul de mesures proposées par le recourant – à savoir une interdiction de contact, complétée par une assignation à résidence, une surveillance électronique, des interdictions de périmètre géographique et une obligation de pointage régulier – ne sont pas aptes à pallier le risque de collusion, encore très élevé à ce stade de l'instruction. Quand bien même de telles mesures seraient mises en œuvre, il est à craindre, en cas de mise en liberté, que le recourant ne cherche à contacter ses coprévenus, voire d'autres personnes susceptibles d'être impliquées dans l’un ou l’autre des complexes de faits qui lui sont reprochés, afin de tenter d'influencer leurs déclarations, de s'accorder sur une version commune, voire de les prévenir, mettant ainsi en péril l'administration des preuves à venir. Une telle interdiction de contact avec ces autres personnes n'est de toute façon pas envisageable, dans la mesure où celles-ci n'ont pas encore été identifiées à ce jour. Aucune autre mesure de substitution n'est concevable pour pallier le risque de collusion et le recourant n'en suggère au demeurant pas. Quant au risque de récidive, aucune mesure de substitution n'est, à ce stade, apte à le pallier, compte tenu de son importance, étant précisé que certaines des mesures proposées par le recourant – assignation à résidence au domicile familial, surveillance électronique, couvre-feu strict, contrôles policiers, obligation de pointage, remise de son passeport et de son permis d’établissement, interdiction de quitter le canton de Genève, obligation de se présenter régulièrement à un poste de police ou encore dépôt d’une caution (CHF 10'000.-) –, mêmes combinées, seraient tout au plus propres à prévenir le risque de fuite, non examiné ici. Quant à l'obligation de travailler au sein de l'entreprise familiale, ou encore de suivre un stage en cuisine à raison d'un jour par semaine, elles ne permettraient pas de contenir le risque de récidive, plus particulièrement au vu de la nature de certains des actes reprochés au recourant. D'une part, rien n'empêcherait ce dernier de s'y soustraire et, d'autre part, de telles mesures ne permettraient pas de garantir que le recourant s'abstienne de commettre des actes de violence en dehors de ses heures de travail.</w:t>
      </w:r>
    </w:p>
    <w:p>
      <w:r>
        <w:t>- 17/19 - P/18876/2024</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7.2</w:t>
      </w:r>
    </w:p>
    <w:p>
      <w:r>
        <w:t>En l'espèce, la durée de la détention provisoire subie à ce jour demeure proportionnée à la peine menace et concrètement encourue si le prévenu devait être reconnu coupable des faits qui lui sont reprochés.</w:t>
      </w:r>
    </w:p>
    <w:p>
      <w:r>
        <w:rPr>
          <w:b/>
        </w:rPr>
        <w:t>E. 8</w:t>
      </w:r>
    </w:p>
    <w:p>
      <w:r>
        <w:t>Le recours s'avère ainsi infondé et doit être rejeté.</w:t>
      </w:r>
    </w:p>
    <w:p>
      <w:r>
        <w:rPr>
          <w:b/>
        </w:rPr>
        <w:t>E. 9</w:t>
      </w:r>
    </w:p>
    <w:p>
      <w:r>
        <w:t>Le recourant, qui succombe, supportera les frais envers l'État, qui comprendront un émolument de CHF 1'000.- (art. 428 al. 1 CPP et 13 al. 1 du Règlement fixant le tarif des frais en matière pénale, RTFMP; E 4 10.03).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dans la mesure où la demande de mise en liberté à l'origine de l'ordonnance querellée a été formulée peu de temps après que la Chambre de céans eut retenu, dans son arrêt du 30 octobre 2025, l'existence de charges suffisantes et d'un double risque de collusion et de réitération, on peut se demander si le présent recours ne procède pas d'un abus. Cela étant, compte tenu des actes d'enquête survenus depuis lors, un réexamen partiel des charges et du risque de collusion pouvait se justifier, de sorte que la demande d'assistance judiciaire sera admise pour le présent recours. L'indemnité du défenseur d'office sera fixée à la fin de la procédure (art. 135 al. 2 CPP). * * * * *</w:t>
      </w:r>
    </w:p>
    <w:p>
      <w:r>
        <w:t>- 18/19 - P/18876/2024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