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ACPR/34/2020 vom 22. Juli 2019</w:t>
      </w:r>
    </w:p>
    <w:p>
      <w:r>
        <w:t>GE Cour de justice, 2019-07-22, FR</w:t>
      </w:r>
    </w:p>
    <w:p>
      <w:r>
        <w:rPr>
          <w:b/>
        </w:rPr>
        <w:t xml:space="preserve">Quelle: </w:t>
      </w:r>
      <w:r>
        <w:t>https://mcp.opencaselaw.ch/entscheid/ge_gerichte_ACPR_34_2020</w:t>
      </w:r>
    </w:p>
    <w:p>
      <w:r>
        <w:t>FR: GE_GERICHTE ACPR/34/2020 du 22 juillet 2019</w:t>
      </w:r>
    </w:p>
    <w:p>
      <w:r>
        <w:t>IT: GE_GERICHTE ACPR/34/2020 del 22 luglio 2019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se plaint d'un défaut de motivation de l'ordonnance querellée, le Ministère public ne s'étant pas prononcé sur tous les arguments figurant dans sa plainte et dans sa réponse.</w:t>
      </w:r>
    </w:p>
    <w:p>
      <w:r>
        <w:rPr>
          <w:b/>
        </w:rPr>
        <w:t>E. 2.1</w:t>
      </w:r>
    </w:p>
    <w:p>
      <w:r>
        <w:t>La garantie du droit d'être entendu, ancrée à l'art. 29 al. 2 Cst., impose à l'autorité le devoir de motiver sa décision, afin que le justiciable puisse en saisir la portée et, le cas échéant, l'attaquer en connaissance de cause (ATF 138 IV 81 consid. 2.2; arrêt du Tribunal fédéral 6B_157/2015 du 21 mars 2016, consid. 2.2). Pour répondre à ces exigences, il suffit que le juge mentionne, au moins brièvement, les motifs qui l'ont guidé et sur lesquels il a fondé sa décision (ATF 138 I 232 consid. 5.1; 137 II 266 consid. 3.2; 136 I 229 consid. 5.2). L'autorité peut se limiter à ne discuter que les moyens pertinents, sans être tenue de répondre à tous les arguments qui lui sont présentés (ATF 139 IV 179 consid. 2.2 p. 183 ; arrêt du Tribunal fédéral 6B_146/2016 du 22 août 2016 consid. 1.1).</w:t>
      </w:r>
    </w:p>
    <w:p>
      <w:r>
        <w:rPr>
          <w:b/>
        </w:rPr>
        <w:t>E. 2.2</w:t>
      </w:r>
    </w:p>
    <w:p>
      <w:r>
        <w:t>En l'espèce, le Ministère public a clairement exposé les raisons pour lesquelles il avait classé la procédure. Partant, sa décision respecte les principes sus-évoqués. Ce grief sera rejeté.</w:t>
      </w:r>
    </w:p>
    <w:p>
      <w:r>
        <w:rPr>
          <w:b/>
        </w:rPr>
        <w:t>E. 3</w:t>
      </w:r>
    </w:p>
    <w:p>
      <w:r>
        <w:t>Au fond, seuls sont contestés, sur recours, le classement des faits d'escroquerie, d'abus de confiance et de faux dans les titres.</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w:t>
      </w:r>
    </w:p>
    <w:p>
      <w:r>
        <w:t>- 12/18 - P/11660/2019 La décision de classer la procédure doit être prise en application du principe in dubio pro duriore.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4.1</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w:t>
      </w:r>
    </w:p>
    <w:p>
      <w:r>
        <w:t>- 13/18 - P/11660/2019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6S.18/2007 du 2 mars 2007 consid. 2.1.1. et 6S_380/2001 du 13 novembre 2001 consid. 2b/aa non publié à l’ATF 128 IV 255 et les références citées).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arrêt du Tribunal fédéral 6B_243/2009 du 29 mai 2009, consid. 2.2.2). Tel est par exemple le cas lorsque les mensonges forment certes un tout, mais que la situation dépeinte par l'auteur, dans son ensemble, aussi bien que les allégations fallacieuses, chacune pour elle-même, devaient être raisonnablement vérifiées et que la découverte d'un seul mensonge aurait entraîné celle de l'ensemble de la tromperie (ATF 119 IV 28, consid. 3c).</w:t>
      </w:r>
    </w:p>
    <w:p>
      <w:r>
        <w:rPr>
          <w:b/>
        </w:rPr>
        <w:t>E. 4.2</w:t>
      </w:r>
    </w:p>
    <w:p>
      <w:r>
        <w:t>En l'occurrence, le recourant admet ne pas avoir procédé à des vérifications, préférant se fonder sur un rapport de confiance. S'il ressort de la procédure que le couple était marié depuis plus de vingt ans au moment des faits, le recourant ne peut affirmer que leur relation n'avait pas été ébranlée par la découverte que son épouse venait de faire. Il admet d'ailleurs lui-même que sa situation maritale était "conflictuelle". Ainsi, le recourant, qui est éduqué et a travaillé au sein de plusieurs grandes entreprises, ne pouvait s'affranchir, en faisant preuve de la diligence minimale requise, de procéder à certaines vérifications. Il ne ressort pas du dossier qu'il aurait, à un quelconque moment, cherché à avoir lui-même contact avec les amis de la mise en cause ou l'ancienne call girl, ce qui aurait permis de fragiliser la version qui lui était présentée. Au contraire, il s'est uniquement fié aux déclarations</w:t>
      </w:r>
    </w:p>
    <w:p>
      <w:r>
        <w:t>- 14/18 - P/11660/2019 de son épouse et doit donc se voir opposer une absence totale de vérification, surtout dans un contexte impliquant un "dessaisissement" de CHF 10'000'000.-. Le recourant s'est également rendu à N______ en mars 2019, et ce malgré qu'il tenait pour vrais les propos rapportés par son épouse. De plus, alors qu'il avait appris les infidélités de celle-ci en début d'année 2019 et était retourné à N______ au cours du printemps, sans rencontrer de problèmes, il a préféré dénoncer les faits uniquement après avoir appris que la relation entretenue par la mise en cause avec un autre homme durait depuis plus longtemps qu'il ne le pensait. Enfin, le recourant admet lui-même qu'il ne dispose d'aucune preuve de ses allégations. L'audition de la mise en cause ne parait dès lors pas pouvoir objectiver ces propos, et il ne propose aucun autre acte d'instruction. Au vu de ce qui précède, c'est à bon droit que le Ministère public n'est pas entré en matière sur les faits d'escroquerie, faute d'astuce.</w:t>
      </w:r>
    </w:p>
    <w:p>
      <w:r>
        <w:rPr>
          <w:b/>
        </w:rPr>
        <w:t>E. 5.1</w:t>
      </w:r>
    </w:p>
    <w:p>
      <w:r>
        <w:t>Selon l'art. 138 ch. 1 al. 1 CP, commet un abus de confiance celui qui, pour se procurer ou procurer à un tiers un enrichissement illégitime, se sera approprié une chose mobilière appartenant à autrui et qui lui avait été confiée. L'appropriation implique que l'auteur veut, d'une part, la dépossession durable du propriétaire et, d'autre part, qu'il entend s'attribuer la chose, au moins pour un temps;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w:t>
      </w:r>
    </w:p>
    <w:p>
      <w:r>
        <w:rPr>
          <w:b/>
        </w:rPr>
        <w:t>E. 5.2</w:t>
      </w:r>
    </w:p>
    <w:p>
      <w:r>
        <w:t>En l'espèce, il ressort du dossier que les fonds litigieux se trouvaient au sein de E______ TRUST, dont les époux A______/B______ et leurs enfants étaient</w:t>
      </w:r>
    </w:p>
    <w:p>
      <w:r>
        <w:t>- 15/18 - P/11660/2019 bénéficiaires. En août 2017, le recourant a sollicité son exclusion dudit trust. Malgré les mises en garde du trustee, il a confirmé sa volonté d'en être exclu, ce qui a été fait le 7 septembre 2017. Par lettres d'intention des 16 février et 25 mars 2018, E______ TRUST a été dissous, un nouveau trust a été créé, et les fonds ont été placés provisoirement sur le compte personnel de la mise en cause. Le recourant a, par lettre d'intention du 25 mars 2018, confirmé avoir lu lesdites lettres et les avoir approuvées. Les fonds litigieux se trouvent toujours sur le compte personnel de la prévenue, et seul un transfert de CHF 1'000'000.-, en faveur du recourant, a été constaté. Dans ce contexte, les explications fournies par la mise en cause apparaissent cohérentes et en adéquation avec les pièces du dossier. Celle-ci a apporté les éclaircissements aux mouvements financiers, et prouvé ses dires par pièces. Ainsi, quand bien même ces avoirs auraient été confiés par le recourant à la mise en cause, il ne ressort pas, en l'état, du dossier, que les fonds auraient été utilisés de manière contraire aux accords prévus. Enfin, l'éventuel litige relatif aux conventions de divorce et au partage des avoirs selon la liquidation du régime matrimonial ne saurait être abordé dans le cadre du présent recours, ces problématiques étant civiles. En tout état, l'on ne saurait déduire de ces conventions une intention d'enrichissement illégitime de la prévenue. En effet, celles-ci ont été signées par-devant un notaire, et le recourant ne prétend pas les avoir contestées, une fois son "état de choc" passé. C'est donc à bon droit que le Ministère public a classé la procédure sur ce point.</w:t>
      </w:r>
    </w:p>
    <w:p>
      <w:r>
        <w:rPr>
          <w:b/>
        </w:rPr>
        <w:t>E. 6.1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 ATF 132 IV 57 consid. 5.1 p. 59).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arrêt du Tribunal fédéral 6B_55/2017 du 24 mars 2017 consid. 2.2). Une simple allégation, par nature sujette à vérification ou discussion, ne suffit pas; il doit</w:t>
      </w:r>
    </w:p>
    <w:p>
      <w:r>
        <w:t>- 16/18 - P/11660/2019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w:t>
      </w:r>
    </w:p>
    <w:p>
      <w:r>
        <w:rPr>
          <w:b/>
        </w:rPr>
        <w:t>E. 6.2</w:t>
      </w:r>
    </w:p>
    <w:p>
      <w:r>
        <w:t>En l'espèce, le recourant a produit des documents prouvant qu'il avait approvisionné le trust à hauteur de CHF 3'045'688.95 et EUR 50'000.-. Il ressort également de la procédure qu'il a, dans plusieurs courriels datant de 2017, confirmé que les avoirs provenaient tant de son épouse que de lui-même, et qu'ils étaient considérés tous les deux comme settlors. Ainsi, il n'apparait pas que le recourant aurait été le seul à alimenter le trust. L'attestation établie le 3 juin 2019 par [la banque] G______ et les courriels produits dans le cadre de la procédure de recours n'y changent rien, dans la mesure où ils n'établissent pas que les fonds auraient été apportés exclusivement par le recourant ("À notre connaissance"; "principally"). Au vu de ce qui précède, il n'est pas établi que la prévenue ne serait pas l'ayant droit des fonds. Les actes d'instruction proposés par le recourant ne sauraient modifier ce raisonnement.</w:t>
      </w:r>
    </w:p>
    <w:p>
      <w:r>
        <w:rPr>
          <w:b/>
        </w:rPr>
        <w:t>E. 7</w:t>
      </w:r>
    </w:p>
    <w:p>
      <w:r>
        <w:t>Justifiée, l'ordonnance querellée sera donc confirmée.</w:t>
      </w:r>
    </w:p>
    <w:p>
      <w:r>
        <w:rPr>
          <w:b/>
        </w:rPr>
        <w:t>E. 8</w:t>
      </w:r>
    </w:p>
    <w:p>
      <w:r>
        <w:t>Le recourant, qui succombe, supportera les frais envers l'État, qui seront fixés en totalité à CHF 1'500.- (art. 428 al. 1 CPP et 13 al. 1 du Règlement fixant le tarif des frais en matière pénale, RTFMP ; E 4 10.03). * * * * *</w:t>
      </w:r>
    </w:p>
    <w:p>
      <w:r>
        <w:t>- 17/18 - P/11660/2019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