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ACPR/34/2019 vom 11. Juli 2018</w:t>
      </w:r>
    </w:p>
    <w:p>
      <w:r>
        <w:t>GE Cour de justice, 2018-07-11, FR</w:t>
      </w:r>
    </w:p>
    <w:p>
      <w:r>
        <w:rPr>
          <w:b/>
        </w:rPr>
        <w:t xml:space="preserve">Quelle: </w:t>
      </w:r>
      <w:r>
        <w:t>https://mcp.opencaselaw.ch/entscheid/ge_gerichte_ACPR_34_2019</w:t>
      </w:r>
    </w:p>
    <w:p>
      <w:r>
        <w:t>FR: GE_GERICHTE ACPR/34/2019 du 11 juillet 2018</w:t>
      </w:r>
    </w:p>
    <w:p>
      <w:r>
        <w:t>IT: GE_GERICHTE ACPR/34/2019 del 11 luglio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l'avoir condamné au paiement d'une partie des frais de la procédure et de lui avoir refusé l'octroi d'une indemnité. Il affirme que, dans la mesure où l'infraction à l'art. 321 CP dont il était soupçonné avait été classée, il avait droit à une indemnité en lien avec ses frais de défense.</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2.2</w:t>
      </w:r>
    </w:p>
    <w:p>
      <w:r>
        <w:t>L'autorité pénale compétente pour liquider l'indemnisation est celle qui a prononcé l'abandon de la poursuite pénale (A. KUHN / Y. JEANNERET (éds), Commentaire romand : Code de procédure pénale suisse, Bâle 2011, n. 51 ad art.</w:t>
      </w:r>
    </w:p>
    <w:p>
      <w:r>
        <w:t>- 7/12 - P/19946/2017 429 ; G. PIQUEREZ / A. MACALUSO, Procédure pénale suisse, Genève 2011, n. 2286 p. 729 ; ACPR/362/2011 du 7 décembre 2011).</w:t>
      </w:r>
    </w:p>
    <w:p>
      <w:r>
        <w:rPr>
          <w:b/>
        </w:rPr>
        <w:t>E. 2.3</w:t>
      </w:r>
    </w:p>
    <w:p>
      <w:r>
        <w:t>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considérées",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ss CPP, in Jusletter du 13 février 2012 ; A. KUHN / Y. JEANNERET (éds), op.cit., n. 27 ad art. 429).</w:t>
      </w:r>
    </w:p>
    <w:p>
      <w:r>
        <w:rPr>
          <w:b/>
        </w:rPr>
        <w:t>E. 2.4</w:t>
      </w:r>
    </w:p>
    <w:p>
      <w:r>
        <w:t>La question de l'indemnisation du prévenu (art. 429 CPP) doit être traitée en relation avec celle des frais (art. 426 CPP).</w:t>
      </w:r>
    </w:p>
    <w:p>
      <w:r>
        <w:rPr>
          <w:b/>
        </w:rPr>
        <w:t>E. 2.5</w:t>
      </w:r>
    </w:p>
    <w:p>
      <w:r>
        <w:t>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1057, p. 1313). Il est donc concevable d'indemniser, dans une mesure réduite, le prévenu qui doit supporter l'ensemble des frais de justice (A. KUHN / Y. JEANNERET (éd.), op.cit.,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w:t>
      </w:r>
    </w:p>
    <w:p>
      <w:r>
        <w:rPr>
          <w:b/>
        </w:rPr>
        <w:t>E. 2.6</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w:t>
      </w:r>
    </w:p>
    <w:p>
      <w:r>
        <w:t>- 8/12 - P/19946/2017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(arrêt du Tribunal fédéral 6B_300/2012 du 10 juin 2013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ATF 116 la 162 consid. 2c).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Toute violation contractuelle, comportement contraire à l'art. 20 CO ou atteinte au principe de la bonne foi au sens de l'art. 2 CC n'est pas nécessairement déjà suffisant pour justifier que les frais soient mis à la charge du prévenu. En effet, dans le cadre d'une relation de travail par exemple, n'importe quelle violation de ses obligations par l'employé ne saurait justifier d'envisager un comportement pénalement répréhensible (arrêt du Tribunal fédéral 6B_803/2016 du 20 juillet 2017 consid. 3.3.3 et les références citées). La faute exigée doit s'apprécier selon des critères objectifs : il ne suffit pas que l'attitude du prévenu contrevienne à l'éthique (ATF 116 la 162 consid. 2d). L'acte répréhensible n'a pas à être commis intentionnellement. La négligence suffit, sans qu'il y ait besoin qu'elle soit grossière (ATF 109 Ia 160 consid. 4a; arrêt du Tribunal fédéral 6B_184/2013 du 1er octobre 2013 consid. 7.1). Par ailleurs, la notion de faute visée par l'art. 41 CO peut consister, notamment, dans le fait de créer ou de laisser subsister un état de choses dangereux pour autrui sans prendre toutes les mesures commandées par les circonstances afin d'empêcher un dommage de se produire (ATF 124 III 297 consid. 5b ; ATF 123 III 306 consid. 4a ; arrêt du Tribunal fédéral 6B_156/2017 du 22 décembre 2017 consid.</w:t>
      </w:r>
    </w:p>
    <w:p>
      <w:r>
        <w:rPr>
          <w:b/>
        </w:rPr>
        <w:t>E. 2.8</w:t>
      </w:r>
    </w:p>
    <w:p>
      <w:r>
        <w:t>L'art. 87 LS régit le secret professionnel et pose comme principe que les professionnels de la santé et leurs auxiliaires y sont astreints (al. 1), et que ce secret a pour but de protéger la sphère privée du patient, interdisant aux personnes détentrices de ce secret de transmettre des informations dont elles ont eu connaissance dans l’exercice de leur profession (al. 2). L'art. 88 LS dispose qu'une personne tenue au secret professionnel peut en être déliée par le patient ou, s’il existe de justes motifs, par l'autorité supérieure de levée du secret professionnel (al. 1).</w:t>
      </w:r>
    </w:p>
    <w:p>
      <w:r>
        <w:rPr>
          <w:b/>
        </w:rPr>
        <w:t>E. 2.9</w:t>
      </w:r>
    </w:p>
    <w:p>
      <w:r>
        <w:t>La garantie de l'art. 28 CC protège, notamment, le droit à la vie, à l'intégrité corporelle (physique et psychique), à la liberté sexuelle et à l'honneur (P. PICHONNAZ / B. FOEX [éds], Commentaire romand : Code civil I, 2010, n. 24 ad art. 28). L'honneur, comme partie intégrante de la personnalité en droit civil, est une notion plus large que l'honneur visé par les art. 173 ss CP (ATF 129 III 715 consid. 4.1; arrêt du Tribunal fédéral 6B_87/2012 précité); il comprend le sentiment qu'une personne a de sa propre dignité, les qualités nécessaires à un individu pour être respecté dans son milieu social ainsi que le droit à la considération morale, professionnelle et sociale (arrêt du Tribunal fédéral 6B_486/2015 du 25 mai 2016 consid. 5.2). N'importe quel trouble de la personnalité ne constitue pas une atteinte au sens de l'art. 28 CC. Cette atteinte doit revêtir une certaine intensité, à savoir dépasser le seuil de tolérance que l'on peut attendre de toute personne vivant en société. 3. 3.1. En l'occurrence, il est établi que le recourant a laissé paraître son livre sans s'assurer du consentement des personnes dont il livrait certains détails de leur vie intime, agissant ainsi notamment envers D______, en violation des art. 87 et 88 LS. Il avait donc adopté une attitude globalement inadéquate au regard de ses obligations professionnelles et son comportement illicite se trouvait bien de ce fait à l'origine de la poursuite pénale car, sans cette attitude désinvolte, contraire à des dispositions de droit administratif claires, celle-ci n'aurait jamais été initiée.</w:t>
      </w:r>
    </w:p>
    <w:p>
      <w:r>
        <w:t>3.2. Il a également utilisé des informations qu'il tenait de sa pratique médicale sans tenir compte des intérêts de son ancien patient, notamment le respect de son</w:t>
      </w:r>
    </w:p>
    <w:p>
      <w:r>
        <w:t>- 10/12 - P/19946/2017 honneur, alors qu'il savait ne pas avoir obtenu son assentiment pour diffuser à la connaissance de chacun des éléments de sa vie intime.</w:t>
      </w:r>
    </w:p>
    <w:p>
      <w:r>
        <w:t>Contrairement à ce que soutient le recourant, de tels agissements ne sauraient être admis sous prétexte que les autres personnes citées dans son ouvrage avaient donné leur aval.</w:t>
      </w:r>
    </w:p>
    <w:p>
      <w:r>
        <w:t>Dans ces circonstances, les agissements du mis en cause eu égard à la situation de son ancien patient impliquaient une violation de son intimité objectivement propre à porter atteinte à sa personnalité au sens de l'art. 28 al. 1 CC et il ne peut invoquer aucun motif justificatif en relation avec ses actes (art. 28 al. 2 CC).</w:t>
      </w:r>
    </w:p>
    <w:p>
      <w:r>
        <w:t>Il résulte des considérations qui précèdent que le recourant a violé l'art. 28 CC.</w:t>
      </w:r>
    </w:p>
    <w:p>
      <w:r>
        <w:t>3.3. C'est donc à juste titre que le Ministère public a considéré que la divulgation d'éléments de la vie privée des patients était une information couverte par le secret médical, conformément à la LS, et contraire aux obligations découlant de l'art. 28 CC. Ce comportement justifiait donc de mettre à sa charge les frais de procédure.</w:t>
      </w:r>
    </w:p>
    <w:p>
      <w:r>
        <w:t>En répartissant ceux-ci entre les deux ordonnances rendues le même jour, découlant de deux complexes de faits distincts reprochés au recourant, soit les faits relatifs à la violation du secret de fonction (art. 320 CP) et ceux relatifs à la violation du secret professionnel (art. 321 CP) et en attribuant un tiers des frais à celle qui ordonnait un classement et deux tiers de ceux-ci à celle qui le condamnait, alors que l'énergie consacrée à ces deux pans de la procédure avait dû être sensiblement égale, lesdits faits ayant une connexité certaine, le Procureur a correctement appliqué l'art. 426 al. 2 CPP.</w:t>
      </w:r>
    </w:p>
    <w:p>
      <w:r>
        <w:t>Pour les mêmes motifs, les violations des art. 87 et 88 LS et 28 CC décrites ci-dessus permettaient au Procureur de refuser d'allouer au recourant une indemnité au sens de l'art. 429 CPP. 4. Le recourant, qui succombe, supportera les frais envers l'État, qui comprendront un émolument de CHF 900.- (art. 428 al. 1 CPP et 13 al. 1 du Règlement fixant le tarif des frais en matière pénale, RTFMP ; E 4 10.03).</w:t>
      </w:r>
    </w:p>
    <w:p>
      <w:r>
        <w:t>- 11/12 - P/19946/2017</w:t>
      </w:r>
    </w:p>
    <w:p>
      <w:r>
        <w:rPr>
          <w:b/>
        </w:rPr>
        <w:t>E. 5</w:t>
      </w:r>
    </w:p>
    <w:p>
      <w:r>
        <w:t>et les références citées).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6B_429/2017 du 14 février 2018 consid. 5.1 ; 6B_1176/2015 du 23 novembre 2016 consid. 1.1 ; 6B_380/2016 du 16 novembre 2016 consid. 5.2). La mise des frais à la charge du prévenu en cas d'acquittement ou de classement de la procédure doit en effet rester l'exception (ATF 116 Ia 162 consid. 2c).</w:t>
      </w:r>
    </w:p>
    <w:p>
      <w:r>
        <w:t>- 9/12 - P/19946/2017 Le comportement fautif – admis s'il y a eu au moins une négligence – doit être à l'origine de l'enquête pénale ou alors il doit s'agir d'une "faute procédurale", c’est-à- dire d'un comportement qui a compliqué ou prolongé la procédure, pour que les frais y relatifs puissent être mis à la charge du prévenu. L'art. 426 al. 2 CPP est susceptible de s'appliquer dans le cadre d'un retrait de plainte pour une infraction poursuivie sur plainte (arrêt du Tribunal fédéral 6B_1065/2015 du 15 septembre 2016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