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ACPR/347/2024 vom 8. Mai 2024</w:t>
      </w:r>
    </w:p>
    <w:p>
      <w:r>
        <w:t>GE Cour de justice, 2024-05-08, FR</w:t>
      </w:r>
    </w:p>
    <w:p>
      <w:r>
        <w:rPr>
          <w:b/>
        </w:rPr>
        <w:t xml:space="preserve">Quelle: </w:t>
      </w:r>
      <w:r>
        <w:t>https://mcp.opencaselaw.ch/entscheid/ge_gerichte_ACPR_347_2024</w:t>
      </w:r>
    </w:p>
    <w:p>
      <w:r>
        <w:t>FR: GE_GERICHTE ACPR/347/2024 du 8 mai 2024</w:t>
      </w:r>
    </w:p>
    <w:p>
      <w:r>
        <w:t>IT: GE_GERICHTE ACPR/347/2024 del 8 maggio 2024</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conteste la non-entrée en matière prononcée à la suite de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w:t>
      </w:r>
    </w:p>
    <w:p>
      <w:r>
        <w:t>- 5/8 - P/16376/2020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2.2</w:t>
      </w:r>
    </w:p>
    <w:p>
      <w:r>
        <w:t>L'art. 303 al. 1 CP réprime notamment du chef de dénonciation calomnieuse quiconque dénonce à l’autorité, comme auteur d’un crime ou d’un délit, une personne qu’il sait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n. 19 ad art. 303). Au cas où l'auteur ne savait pas que la personne visée était innocente, la diffamation (art. 173 CP) est applicable (M. DUPUIS / L. MOREILLON / C. PIGUET / S. BERGER / M. MAZOU / V. RODIGARI, Code pénal - Petit commentaire, 2ème éd., Bâle 2017, n. 31 ad art. 303). 2.3.1.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2.3.2. La calomnie (art. 174 CP) est une forme qualifiée de diffamation, dont elle se distingue par le fait que les allégations propagées sont fausses (arrêt du Tribunal fédéral 6B_1215/2020 du 22 avril 2021 consid. 3.1).</w:t>
      </w:r>
    </w:p>
    <w:p>
      <w:r>
        <w:rPr>
          <w:b/>
        </w:rPr>
        <w:t>E. 2.4</w:t>
      </w:r>
    </w:p>
    <w:p>
      <w:r>
        <w:t>En l'espèce, la plainte déposée contre le recourant et qui a donné lieu à l'ouverture de la P/1______/2019 a fait l'objet d'un classement, le 3 octobre 2023. Pour autant, aucun élément ne permet d'établir que les plaignants dans la procédure susmentionnée – qui revêtent la qualité de mis en cause dans la présente – savaient le recourant innocent des faits reprochés. Il ressort au contraire de l'ordonnance de classement rendue dans la P/1______/2019 que la plainte des mis en cause avait justifié l'ouverture d'une instruction, ce qui</w:t>
      </w:r>
    </w:p>
    <w:p>
      <w:r>
        <w:t>- 6/8 - P/16376/2020 dénote qu'elle n'était pas d'emblée dénuée de tout fondement. La procédure susmentionnée a fait l'objet de plusieurs actes d'enquête, dont des auditions de témoins et un ordre de dépôt. Quand bien même le Ministère public a finalement écarté tout soupçon à l'égard du recourant, sa motivation ne permet pas de conclure que les mis en causes savaient (ou devaient connaître) la fausseté de leurs accusations. Les explications du recourant ainsi que les pièces produites ne permettent pas non plus de retenir que la démarche des mis en cause ne trouvait aucune assise et qu'elle relevait d'un pur esprit chicanier. Dans ces circonstances, les éléments constitutifs de la dénonciation calomnieuse n'apparaissent pas remplis. La plainte pénale du 22 octobre 2019 à l'origine de la décision de classement ne remplit pas davantage les éléments constitutifs de la diffamation et/ou calomnie dans la mesure où les mis en cause n'ont manifestement pas dépassé le cadre nécessaire et légitime pour faire valoir leurs droits en justice, comme l'a du reste relevé à juste titre le Ministère public dans son ordonnance litigieuse.</w:t>
      </w:r>
    </w:p>
    <w:p>
      <w:r>
        <w:rPr>
          <w:b/>
        </w:rPr>
        <w:t>E. 3</w:t>
      </w:r>
    </w:p>
    <w:p>
      <w:r>
        <w:t>Justifiée, l'ordonnance querellée sera donc confirmée. Le recours, qui s'avère mal fondé, pouvait être traité d'emblée sans échange d'écritures, ni débats (art. 390 al. 2 et</w:t>
      </w:r>
    </w:p>
    <w:p>
      <w:r>
        <w:rPr>
          <w:b/>
        </w:rPr>
        <w:t>E. 5</w:t>
      </w:r>
    </w:p>
    <w:p>
      <w:r>
        <w:t>a contrario CPP). 4. Le recourant, qui succombe, supportera les frais envers l'État, fixés en intégralité à CHF 1'500.- (art. 428 al. 1 CPP et 13 al. 1 du Règlement fixant le tarif des frais en matière pénale, RTFMP ; E 4 10.03). * * * * *</w:t>
      </w:r>
    </w:p>
    <w:p>
      <w:r>
        <w:t>- 7/8 - P/16376/2020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