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ACPR/346/2026 vom 8. April 2026</w:t>
      </w:r>
    </w:p>
    <w:p>
      <w:r>
        <w:t>GE Cour de justice, 2026-04-08, FR</w:t>
      </w:r>
    </w:p>
    <w:p>
      <w:r>
        <w:rPr>
          <w:b/>
        </w:rPr>
        <w:t xml:space="preserve">Quelle: </w:t>
      </w:r>
      <w:r>
        <w:t>https://mcp.opencaselaw.ch/entscheid/ge_gerichte_ACPR_346_2026</w:t>
      </w:r>
    </w:p>
    <w:p>
      <w:r>
        <w:t>FR: GE_GERICHTE ACPR/346/2026 du 8 avril 2026</w:t>
      </w:r>
    </w:p>
    <w:p>
      <w:r>
        <w:t>IT: GE_GERICHTE ACPR/346/2026 del 8 aprile 2026</w:t>
      </w:r>
    </w:p>
    <w:p>
      <w:pPr>
        <w:pStyle w:val="Heading2"/>
      </w:pPr>
      <w:r>
        <w:t>Erwägungen</w:t>
      </w:r>
    </w:p>
    <w:p>
      <w:r>
        <w:rPr>
          <w:b/>
        </w:rPr>
        <w:t>E. 1</w:t>
      </w:r>
    </w:p>
    <w:p>
      <w:r>
        <w:t>Le recours a été déposé dans le délai prescrit (art. 396 al. 1 CPP),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 Bien que limite sous l'angle de la condition de la motivation suffisante, l'acte en question, en tant qu'il émane d'un justiciable en personne, sera néanmoins considéré comme recevable à la forme (art. 385 al. 1 CPP) en tant que l'on comprend que son auteur souhaite l'annulation de la décision attaquée.</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ATF 138 IV 86 consid. 4.1).</w:t>
      </w:r>
    </w:p>
    <w:p>
      <w:r>
        <w:t>- 6/8 - P/14730/2025</w:t>
      </w:r>
    </w:p>
    <w:p>
      <w:r>
        <w:rPr>
          <w:b/>
        </w:rPr>
        <w:t>E. 3.2</w:t>
      </w:r>
    </w:p>
    <w:p>
      <w:r>
        <w:t>En l'espèce, il résulte de l'enquête de l'IGS, qui a entendu tous les protagonistes, que la police est intervenue à la porte d'embarquement d'un vol C______ en partance pour B______ en Italie, à la demande des employés de l'aéroport, le recourant s'étant montré agressif et menaçant en particulier à l'encontre de l'un d'eux, après qu'il lui fut demandé de s'acquitter d'une surtaxe pour son bagage. Les menaces ou l'abus d'autorité dont il aurait fait l'objet de la part du policier mis en cause n'apparaissent pas établis au vu des témoignages recueillis qui accréditent tous la version du policier. Partant, on ne voit pas en quoi une confrontation avec ledit policier serait susceptible d’apporter de nouveaux éléments probants, étant rappelé qu'il n'y a pas lieu d'administrer des preuves sur des faits non pertinents, notoires, connus de l'autorité pénale ou déjà suffisamment prouvés (art. 139 al. 2 CPP). Le constat du Ministère public selon lequel il n'existe pas de prévention suffisante est ainsi exempte de toute critique, de sorte que c'est à bon droit que cette autorité n’est pas entrée en matière sur les faits dénoncés.</w:t>
      </w:r>
    </w:p>
    <w:p>
      <w:r>
        <w:rPr>
          <w:b/>
        </w:rPr>
        <w:t>E. 4</w:t>
      </w:r>
    </w:p>
    <w:p>
      <w:r>
        <w:t>Justifiée, l’ordonnance querellée sera dès lors confirmée.</w:t>
      </w:r>
    </w:p>
    <w:p>
      <w:r>
        <w:rPr>
          <w:b/>
        </w:rPr>
        <w:t>E. 5</w:t>
      </w:r>
    </w:p>
    <w:p>
      <w:r>
        <w:t>Le recourant, qui succombe, supportera les frais envers l'État, qui comprendront un émolument de CHF 800.- (art. 428 al. 1 CPP et 13 al. 1 du Règlement fixant le tarif des frais en matière pénale, RTFMP; E 4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