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ACPR/345/2023 vom 5. Dezember 2022</w:t>
      </w:r>
    </w:p>
    <w:p>
      <w:r>
        <w:t>GE Cour de justice, 2022-12-05, FR</w:t>
      </w:r>
    </w:p>
    <w:p>
      <w:r>
        <w:rPr>
          <w:b/>
        </w:rPr>
        <w:t xml:space="preserve">Quelle: </w:t>
      </w:r>
      <w:r>
        <w:t>https://mcp.opencaselaw.ch/entscheid/ge_gerichte_ACPR_345_2023</w:t>
      </w:r>
    </w:p>
    <w:p>
      <w:r>
        <w:t>FR: GE_GERICHTE ACPR/345/2023 du 5 décembre 2022</w:t>
      </w:r>
    </w:p>
    <w:p>
      <w:r>
        <w:t>IT: GE_GERICHTE ACPR/345/2023 del 5 dicembre 2022</w:t>
      </w:r>
    </w:p>
    <w:p>
      <w:pPr>
        <w:pStyle w:val="Heading2"/>
      </w:pPr>
      <w:r>
        <w:t>Erwägungen</w:t>
      </w:r>
    </w:p>
    <w:p>
      <w:r>
        <w:rPr>
          <w:b/>
        </w:rPr>
        <w:t>E. 1.1</w:t>
      </w:r>
    </w:p>
    <w:p>
      <w:r>
        <w:t>Le recours a été déposé selon la forme et – faute de respects des réquisits de l'art. 85 al. 2 CPP – dans le délai prescrits (art. 385 al. 1 et 396 al. 1 CPP), concerne une ordonnance sujette à recours auprès de la Chambre de céans (art. 393 al. 1 let. a CPP) et émane de parties à la procédure, soit des plaignants (art. 104 al. 1 let. b CPP). 1.2.1.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1.2.2. En l'espèce, dans la mesure où A______ n'allègue pas être partie au contrat de bail, une éventuelle infraction de contrainte toucherait uniquement B______ SARL, et non les associés de celle-ci. Il ne peut dès lors pas se prévaloir de la qualité de lésé. Partant, son recours sera déclaré irrecevable.</w:t>
      </w:r>
    </w:p>
    <w:p>
      <w:r>
        <w:rPr>
          <w:b/>
        </w:rPr>
        <w:t>E. 2</w:t>
      </w:r>
    </w:p>
    <w:p>
      <w:r>
        <w:t>La recourante reproche au Ministère public de ne pas être entré en matière sur sa plainte.</w:t>
      </w:r>
    </w:p>
    <w:p>
      <w:r>
        <w:t>- 5/10 - P/20714/2022</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78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Une non-entrée en matière s'impose lorsque le litige est de nature purement civile (ATF 137 IV 285 consid. 2.3).</w:t>
      </w:r>
    </w:p>
    <w:p>
      <w:r>
        <w:rPr>
          <w:b/>
        </w:rPr>
        <w:t>E. 2.2</w:t>
      </w:r>
    </w:p>
    <w:p>
      <w:r>
        <w:t>Se rend coupable de contrainte selon l'art. 181 CP celui qui, en usant de violence envers une personne ou en la menaçant d'un dommage sérieux, ou en l'entravant de quelque autre manière dans la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w:t>
      </w:r>
    </w:p>
    <w:p>
      <w:r>
        <w:t>- 6/10 - P/20714/2022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À cet égard, le but d'obtenir une reconnaissance de dette ou de recouvrir une créance n'est pas illicite, même lorsque l'auteur doute de la créance. De même,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(arrêt du Tribunal fédéral 6B_415/2018 du 20 septembre 2018 consid. 2.1.3; ATF 120 IV 17 consid. 2a/bb). En soi, faire une offre transactionnelle n'est pas illicite, mais peut le devenir, lorsque l'auteur tente d'obtenir plus que ce à quoi il a droit, en menaçant la partie adverse d'un dommage sérieux ; il y a en effet inadéquation entre le moyen employé et le but visé (ATF 132 IV 112 c. 4.4).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2.3</w:t>
      </w:r>
    </w:p>
    <w:p>
      <w:r>
        <w:t>Le locataire d'un local commercial peut transférer son bail à un tiers avec le consentement écrit du bailleur (art. 263 al. 1 CO). Le bailleur ne peut refuser son consentement que pour de justes motifs (al. 2). Si le bailleur donne son consentement, le tiers est subrogé au locataire (al. 3). Doivent être considérés comme de justes motifs permettant au bailleur de refuser le transfert de bail, toutes circonstances qui, selon les règles de la bonne foi, ne permettent pas d'imposer au bailleur une relation contractuelle avec le bénéficiaire du transfert, notamment : insolvabilité du bénéficiaire du transfert; prix de la remise de commerce exagéré, compromettant la solvabilité du bénéficiaire du transfert (L. THEVENOZ / F. WERRO (éds), Commentaire romand : Code des obligations I, 3ème éd., Bâle 2021, n. 6 ad art. 263).</w:t>
      </w:r>
    </w:p>
    <w:p>
      <w:r>
        <w:t>- 7/10 - P/20714/2022 Si, sans justes motifs, le bailleur refuse son consentement, le locataire transférant peut saisir l'autorité paritaire de conciliation et faire constater son droit au transfert du bail ; s'il subit un préjudice, le locataire peut prétendre à des dommages-intérêts (L. THEVENOZ / F. WERRO (éds), op. cit., n. 7 ad art. 263). En pratique, le transfert d'un bail commercial est souvent précédé par la conclusion d'un contrat de remise de commerce entre le transférant et le repreneur, contrat de nature sui generis, qui porte d'ordinaire sur la cession des droits et des obligations découlant du bail et d'autres contrats (assurances, contrat de travail, etc.), mais également sur du mobilier, des installations, du stock, de la clientèle et des éléments immatériels liés au commerce (localisation, enseigne, organisation, relation avec les fournisseurs) (D. LACHAT / K. GROBET THORENS / X. RUBLI / P. STASTNY, Le bail à loyer, Lausanne, 2019, p. 767 et les références citées).</w:t>
      </w:r>
    </w:p>
    <w:p>
      <w:r>
        <w:rPr>
          <w:b/>
        </w:rPr>
        <w:t>E. 2.4</w:t>
      </w:r>
    </w:p>
    <w:p>
      <w:r>
        <w:t>En l'espèce, la recourante voit dans les démarches des mis en cause une tentative de contrainte, au motif que les précités, l'auraient menacée – en s'opposant au transfert de bail et à la reprise du fonds de commerce – de la placer dans une situation financière extrêmement précaire, si elle ne retirait pas ses demandes en réduction du loyer et ne prenait pas en charge les dépens de l'avocat. Force est toutefois de constater que les revendications du bailleur intervenaient dans un contexte de négociations extrajudiciaires et d'un litige aigu. Dans un tel cas de figure, il est usuel que les parties exposent leurs prétentions et tentent de se dissuader l'une l'autre de faire valoir les siennes. En l'occurrence, les conditions du bailleur pour mener à terme les négociations n'apparaissent pas abusives, compte tenu de son intérêt à ce que le montant du loyer ne soit pas réduit. Rien n'empêche, de surcroit, une partie de tenter, dans ces circonstances, à ce que ses dépens ne soient pris en charge par la partie adverse. Par ailleurs, à la lecture des courriels échangés entre le représentant de la recourante et l'avocat du bailleur, il appert que ce dernier ne s'opposait pas au transfert de bail, ni à la reprise du fonds de commerce, mais refusait de s'engager à vendre ledit fonds au locataire, ce qui n'est, en soi, pas abusif, dès lors que le contrat de remise de commerce n'est conclu qu'entre le locataire et le repreneur. Qui plus est, un prix de remise de commerce exagéré peut compromettre la solvabilité du bénéficiaire du transfert. Il s'ensuit que la tentative de contrainte doit être écartée, dès lors que la solution inverse équivaudrait à une immixtion excessive dans une procédure civile et reviendrait à admettre que le comportement a priori légal au regard du droit civil puisse être considéré comme pénalement relevant. Les actes d'instruction sollicités par la recourante ne sont pas propres à modifier ce raisonnement. Faute de prévention pénale suffisante, la décision querellée ne prête pas le flanc à la critique.</w:t>
      </w:r>
    </w:p>
    <w:p>
      <w:r>
        <w:t>- 8/10 - P/20714/2022</w:t>
      </w:r>
    </w:p>
    <w:p>
      <w:r>
        <w:rPr>
          <w:b/>
        </w:rPr>
        <w:t>E. 3</w:t>
      </w:r>
    </w:p>
    <w:p>
      <w:r>
        <w:t>Justifiée, l'ordonnance querellée sera confirmée.</w:t>
      </w:r>
    </w:p>
    <w:p>
      <w:r>
        <w:rPr>
          <w:b/>
        </w:rPr>
        <w:t>E. 4</w:t>
      </w:r>
    </w:p>
    <w:p>
      <w:r>
        <w:t>Les recourants, qui succombent, supporteront les frais envers l'État, fixés en totalité à CHF 900.- (art. 428 al. 1 CPP et 13 al. 1 du Règlement fixant le tarif des frais en matière pénale, RTFMP ; E 4 10.03). * * * * *</w:t>
      </w:r>
    </w:p>
    <w:p>
      <w:r>
        <w:t>- 9/10 - P/20714/2022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