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ACPR/345/2020 vom 5. Mai 2020</w:t>
      </w:r>
    </w:p>
    <w:p>
      <w:r>
        <w:t>GE Cour de justice, 2020-05-05, FR</w:t>
      </w:r>
    </w:p>
    <w:p>
      <w:r>
        <w:rPr>
          <w:b/>
        </w:rPr>
        <w:t xml:space="preserve">Quelle: </w:t>
      </w:r>
      <w:r>
        <w:t>https://mcp.opencaselaw.ch/entscheid/ge_gerichte_ACPR_345_2020</w:t>
      </w:r>
    </w:p>
    <w:p>
      <w:r>
        <w:t>FR: GE_GERICHTE ACPR/345/2020 du 5 mai 2020</w:t>
      </w:r>
    </w:p>
    <w:p>
      <w:r>
        <w:t>IT: GE_GERICHTE ACPR/345/2020 del 5 maggio 2020</w:t>
      </w:r>
    </w:p>
    <w:p>
      <w:pPr>
        <w:pStyle w:val="Heading2"/>
      </w:pPr>
      <w:r>
        <w:t>Erwägungen</w:t>
      </w:r>
    </w:p>
    <w:p>
      <w:r>
        <w:rPr>
          <w:b/>
        </w:rPr>
        <w:t>E. 1</w:t>
      </w:r>
    </w:p>
    <w:p>
      <w:r>
        <w:t>Le recours a été interjeté dans les délai et forme prévus par la loi (art. 385 al. 1, 390 al. 1 et 396 al. 1 CPP) contre une décision du Tribunal correctionnel ordonnant l'arrestation du prévenu à l'issue de l'audience, comme telle sujette à recours (arrêts du Tribunal fédéral 1B_178/2017 du 24 mai 2017 consid. 2.1. et 1B_250/2014 du</w:t>
      </w:r>
    </w:p>
    <w:p>
      <w:r>
        <w:rPr>
          <w:b/>
        </w:rPr>
        <w:t>E. 4</w:t>
      </w:r>
    </w:p>
    <w:p>
      <w:r>
        <w:t>Le risque de fuite suffisant à faire échec au recours, il n'est pas nécessaire d'examiner ce qu'il en est du risque de réitération, retenu par le TCor.</w:t>
      </w:r>
    </w:p>
    <w:p>
      <w:r>
        <w:rPr>
          <w:b/>
        </w:rPr>
        <w:t>E. 5</w:t>
      </w:r>
    </w:p>
    <w:p>
      <w:r>
        <w:t>Au titre de mesure de substitution, le recourant propose l'obligation de résider, avec son épouse, à leur adresse c/o E______, chemin 1______ [no.] ______, [code postal] L______ [GE]. Comme l'a relevé le TMC, à la lecture du dossier de l'OCPM, le domicile de A______ a été difficilement identifiable tout au long de ces années. Il a faussement prétendu être domicilié chez K______, tout comme son épouse qui, bien qu'inscrite à l'OCPM, vivait alors aux Etats-Unis. Il a vécu en France voisine, tout en refusant de dévoiler l'adresse. Enfin, bien que l'ordonnance de mise en liberté du 25 mars 2020 lui faisait obligation de résider avec son épouse dans l'appartement se trouvant à M______ [GE], dont ils avaient communiqué l'adresse à l'OCPM, il n'a pas hésité à modifier de son propre chef son lieu de résidence. Tout comme le Ministère public, on peut avoir des doutes concernant le contrat de sous-location conclu avec E______. On ignore si le propriétaire y a donné son accord; le contrat signé le 18 avril 2020, prévoit une échéance très proche au 31 octobre suivant et les époux n'ont pas annoncé leur déménagement à l'OCPM. Ainsi, cette obligation proposée apparaît totalement aléatoire et précaire; la Chambre de céans n'entend pas avaliser le risque de non présentation à l'audience d'appel où l'interrogatoire du prévenu sur les faits et infractions contestés est essentielle. Le recourant soutient faire la grève de la faim; si son état de santé se péjorait, il serait soigné de manière adéquate à l'unité médicale de B______, voire au quartier cellulaire des HUG, qui, tous deux, sont à même d'administrer à l'intéressé un traitement médical de qualité, y compris, le cas échéant, son alimentation forcée,</w:t>
      </w:r>
    </w:p>
    <w:p>
      <w:r>
        <w:t>- 8/10 - P/17564/2011 laquelle, selon la jurisprudence, ne porte pas une atteinte disproportionnée à la liberté d'expression et à la liberté personnelle du détenu et ne viole pas l'interdiction des traitements inhumains ou dégradants si elle est pratiquée dignement et conformément aux règles de l'art médical (ATF 136 IV 97 consid. 6.3.3). Il ne s'agit pas d'un événement qui rendrait sa détention pour des motifs de sûreté disproportionnée.</w:t>
      </w:r>
    </w:p>
    <w:p>
      <w:r>
        <w:rPr>
          <w:b/>
        </w:rPr>
        <w:t>E. 6</w:t>
      </w:r>
    </w:p>
    <w:p>
      <w:r>
        <w:t>Le recours s'avère ainsi infondé et doit être rejeté.</w:t>
      </w:r>
    </w:p>
    <w:p>
      <w:r>
        <w:rPr>
          <w:b/>
        </w:rPr>
        <w:t>E. 7</w:t>
      </w:r>
    </w:p>
    <w:p>
      <w:r>
        <w:t>Le recourant, qui succombe dans toutes ses conclusions, supportera les frais envers l'État, qui comprendront un émolument de CHF 900.- (art. 428 al. 1 CPP et 13 al. 1 du Règlement fixant le tarif des frais en matière pénale, RTFMP; E 4 10.03). *****</w:t>
      </w:r>
    </w:p>
    <w:p>
      <w:r>
        <w:t>- 9/10 - P/17564/2011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