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ACPR/344/2025 vom 24. Januar 2025</w:t>
      </w:r>
    </w:p>
    <w:p>
      <w:r>
        <w:t>GE Cour de justice, 2025-01-24, FR</w:t>
      </w:r>
    </w:p>
    <w:p>
      <w:r>
        <w:rPr>
          <w:b/>
        </w:rPr>
        <w:t xml:space="preserve">Quelle: </w:t>
      </w:r>
      <w:r>
        <w:t>https://mcp.opencaselaw.ch/entscheid/ge_gerichte_ACPR_344_2025</w:t>
      </w:r>
    </w:p>
    <w:p>
      <w:r>
        <w:t>FR: GE_GERICHTE ACPR/344/2025 du 24 janvier 2025</w:t>
      </w:r>
    </w:p>
    <w:p>
      <w:r>
        <w:t>IT: GE_GERICHTE ACPR/344/2025 del 24 gennaio 2025</w:t>
      </w:r>
    </w:p>
    <w:p>
      <w:pPr>
        <w:pStyle w:val="Heading2"/>
      </w:pPr>
      <w:r>
        <w:t>Erwägungen</w:t>
      </w:r>
    </w:p>
    <w:p>
      <w:r>
        <w:rPr>
          <w:b/>
        </w:rPr>
        <w:t>E. 1</w:t>
      </w:r>
    </w:p>
    <w:p>
      <w:r>
        <w:t>Le recours est recevable pour avoir été déposé selon la forme et dans le délai prescrits (art. 385 al. 1 et 396 al. 1 CPP), concerner une décision sujette à contestation auprès de la Chambre de céans (art. 393 al. 1 let. a CPP) et émaner du prévenu, partie à la procédure (art. 104 al. 1 let. a CPP) qui a qualité pour agir, ayant un intérêt juridiquement protégé à l'annulation de cette décision (art. 382 al. 1 CPP).</w:t>
      </w:r>
    </w:p>
    <w:p>
      <w:r>
        <w:t>- 4/7 - P/18420/2023</w:t>
      </w:r>
    </w:p>
    <w:p>
      <w:r>
        <w:rPr>
          <w:b/>
        </w:rPr>
        <w:t>E. 2</w:t>
      </w:r>
    </w:p>
    <w:p>
      <w:r>
        <w:t>Le recourant reproche au Ministère public d'avoir rendu une ordonnance constatant l'irrecevabilité de son opposition, alors que cette compétence revenait au Tribunal de police.</w:t>
      </w:r>
    </w:p>
    <w:p>
      <w:r>
        <w:rPr>
          <w:b/>
        </w:rPr>
        <w:t>E. 2.1</w:t>
      </w:r>
    </w:p>
    <w:p>
      <w:r>
        <w:t>Le prévenu peut former opposition contre l'ordonnance pénale devant le ministère public, par écrit et dans un délai de dix jours (art. 354 al. 1 let. a CPP).</w:t>
      </w:r>
    </w:p>
    <w:p>
      <w:r>
        <w:rPr>
          <w:b/>
        </w:rPr>
        <w:t>E. 2.2</w:t>
      </w:r>
    </w:p>
    <w:p>
      <w:r>
        <w:t>Conformément à l'art. 356 al. 1 CPP, lorsqu'il décide de maintenir l'ordonnance pénale (art. 355 al. 3 let. a CPP), le ministère public transmet sans retard le dossier au tribunal de première instance en vue des débats, l'ordonnance pénale tenant alors lieu d'acte d'accusation. Selon l'art. 356 al. 2 CPP, le tribunal de première instance statue sur la validité de l'ordonnance pénale et de l'opposition (ATF 142 IV 201 consid. 2.2; 140 IV 192 consid. 1.3). Le ministère public n'est ainsi pas compétent pour statuer sur cette validité (ATF 140 IV 192 consid. 1.4). Si l'opposition n'est pas valable, en raison notamment d'un vice de forme, le tribunal de première instance n'entre pas en matière sur celle-ci. Le contrôle imposé au tribunal de première instance par l'art. 356 al. 2 CPP doit intervenir à titre préjudiciel et d'office dans le cadre des art. 329 al. 1 let. b, respectivement 339 al. 2 let. b CPP, la validité de l'opposition constituant une condition du procès (arrêts du Tribunal fédéral 6B_218/2020 du 17 avril 2020 consid. 1.1; 6B_1067/2018 du 23 novembre 2018 consid. 1.2; 6B_271/2018 du 20 juin 2018 consid. 2.1 et les références citées).</w:t>
      </w:r>
    </w:p>
    <w:p>
      <w:r>
        <w:rPr>
          <w:b/>
        </w:rPr>
        <w:t>E. 2.3</w:t>
      </w:r>
    </w:p>
    <w:p>
      <w:r>
        <w:t>En l'espèce, le Ministère public a lui-même rendu une ordonnance constatant l'irrecevabilité de l'opposition formée par le recourant. En agissant de la sorte, il s'est arrogé des compétences qui n'étaient pas les siennes. Il aurait dû transmettre l'opposition au Tribunal de police, en concluant éventuellement à son irrecevabilité. Le cas d'espèce ne concerne pas la situation où le prévenu aurait agi hors délai et où l'opposition aurait pu être considérée comme une demande de restitution de délai (art. 94 CPP), sur laquelle le Ministère public devait se prononcer. Au contraire, la question à trancher concernait un éventuel vice de forme et avait donc trait à la validité de l'opposition – prérogative exclusive du tribunal. Ainsi, en ne transmettant pas l'opposition au Tribunal de police, mais en rendant lui- même une décision sur la validité de l'opposition, le Ministère public a violé l'art. 356 CPP. C'est également à tort que le Ministère public retient que l'éventuel vice pourrait être réparé dans le cadre du recours, sans contrôle préalable du Tribunal de police.</w:t>
      </w:r>
    </w:p>
    <w:p>
      <w:r>
        <w:t>- 5/7 - P/18420/2023</w:t>
      </w:r>
    </w:p>
    <w:p>
      <w:r>
        <w:rPr>
          <w:b/>
        </w:rPr>
        <w:t>E. 3</w:t>
      </w:r>
    </w:p>
    <w:p>
      <w:r>
        <w:t>Au vu de ce qui précède, le recours est admis et l'ordonnance attaquée, annulée. Le grief tiré d'un éventuel formalisme excessif n'a dès lors pas à être examiné. La cause sera ainsi renvoyée au Ministère public afin qu'il procède conformément à l'art. 356 al. 1 CPP.</w:t>
      </w:r>
    </w:p>
    <w:p>
      <w:r>
        <w:rPr>
          <w:b/>
        </w:rPr>
        <w:t>E. 4</w:t>
      </w:r>
    </w:p>
    <w:p>
      <w:r>
        <w:t>L'admission du recours ne donne pas lieu à la perception de frais (art. 428 al. 1 CPP).</w:t>
      </w:r>
    </w:p>
    <w:p>
      <w:r>
        <w:rPr>
          <w:b/>
        </w:rPr>
        <w:t>E. 5</w:t>
      </w:r>
    </w:p>
    <w:p>
      <w:r>
        <w:t>Le recourant sollicite l'assistance judiciaire dans le cadre de la procédure P/18420/2023 avec effet au 20 novembre 2024, y compris pour la procédure de recours.</w:t>
      </w:r>
    </w:p>
    <w:p>
      <w:r>
        <w:rPr>
          <w:b/>
        </w:rPr>
        <w:t>E. 5.1</w:t>
      </w:r>
    </w:p>
    <w:p>
      <w:r>
        <w:t>À teneur de l'art. 135 al. 1 CPP, le défenseur d'office est indemnisé conformément au tarif des avocats de la Confédération ou du canton du for du procès. À Genève, le tarif des avocats est édicté à l'art. 16 RAJ; il prévoit une indemnisation sur la base d'un tarif horaire, débours de l'étude inclus, de CHF 200.- pour un chef d'étude (art. 16 al. 1 let. a RAJ). Seules les heures nécessaires sont retenues; elles sont appréciées en fonction notamment de la nature, de l'importance, et des difficultés de la cause, de la valeur litigieuse, de la qualité du travail fourni et du résultat obtenu (art. 16 al. 2 RAJ).</w:t>
      </w:r>
    </w:p>
    <w:p>
      <w:r>
        <w:rPr>
          <w:b/>
        </w:rPr>
        <w:t>E. 5.2</w:t>
      </w:r>
    </w:p>
    <w:p>
      <w:r>
        <w:t>En l'occurrence, le recourant a été mis au bénéfice de l'assistance judiciaire devant l'instance inférieure dans le cadre de la P/1______/2023, laquelle fait l'objet d'un traitement séparé de la présente procédure. Ce nonobstant, le Ministère public a adressé sa demande d'observations du 4 novembre 2024 relative à la présente procédure à la défenseure d'office du recourant nommée dans la P/1______/2023, laquelle procédure n'a pas été jointe à celle-là, malgré l'évocation d'une telle jonction dans la note du greffier du 20 novembre 2024. Il a également communiqué l'ordonnance litigieuse à cette même défenseure d'office désignée dans la P/1______/2023. Dans ces circonstances, c'est à bon droit que l'avocate concernée sollicite d'être indemnisée pour son activité déployée dans le cadre de la présente procédure de recours. En revanche, dans la mesure où l'assistance juridique est octroyée avec effet au jour du dépôt de la requête (art. 5 al. 1 RAJ) et qu'une telle demande n'a pas été faite devant le Ministère public, la Chambre de céans ne saurait statuer sur une requête d'assistance judiciaire formulée devant elle pour l'activité déployée antérieurement à sa saisine, faute de décision préalable de l'autorité inférieure sur ce point (art. 393 al. 1 let. a CPP; ACPR/536/2023 du 18 juillet 2023 consid. 6.2.1). Elle ne saurait non plus l'octroyer pour la procédure ultérieure. Me B______ sera ainsi désignée comme défenseure d'office pour la présente procédure de recours exclusivement et rémunérée comme tel (art. 135 al. 1 CPP).</w:t>
      </w:r>
    </w:p>
    <w:p>
      <w:r>
        <w:t>- 6/7 - P/18420/2023 Compte tenu du travail accompli – soit cinq pages de recours, dont trois de développements juridiques, et une brève réplique –, sa rémunération sera arrêtée, ex aequo et bono, à CHF 500.- TTC. * * * * *</w:t>
      </w:r>
    </w:p>
    <w:p>
      <w:r>
        <w:t>- 7/7 - P/18420/2023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