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ACPR/343/2022 vom 14. April 2022</w:t>
      </w:r>
    </w:p>
    <w:p>
      <w:r>
        <w:t>GE Cour de justice, 2022-04-14, FR</w:t>
      </w:r>
    </w:p>
    <w:p>
      <w:r>
        <w:rPr>
          <w:b/>
        </w:rPr>
        <w:t xml:space="preserve">Quelle: </w:t>
      </w:r>
      <w:r>
        <w:t>https://mcp.opencaselaw.ch/entscheid/ge_gerichte_ACPR_343_2022</w:t>
      </w:r>
    </w:p>
    <w:p>
      <w:r>
        <w:t>FR: GE_GERICHTE ACPR/343/2022 du 14 avril 2022</w:t>
      </w:r>
    </w:p>
    <w:p>
      <w:r>
        <w:t>IT: GE_GERICHTE ACPR/343/2022 del 14 aprile 2022</w:t>
      </w:r>
    </w:p>
    <w:p>
      <w:pPr>
        <w:pStyle w:val="Heading2"/>
      </w:pPr>
      <w:r>
        <w:t>Erwägungen</w:t>
      </w:r>
    </w:p>
    <w:p>
      <w:r>
        <w:rPr>
          <w:b/>
        </w:rPr>
        <w:t>E. 1.1</w:t>
      </w:r>
    </w:p>
    <w:p>
      <w:r>
        <w:t>Les recours sont recevables pour avoir été déposés selon la forme et dans le délai prescrits (art. 385 al. 1 et 396 al. 1 CPP), concerner deux ordonnances sujettes à recours auprès de la Chambre de céans (art. 222 et 393 al. 1 let. c CPP) et émaner du prévenu qui, partie à la procédure (art. 104 al. 1 let. a CPP), a qualité pour agir, ayant un intérêt juridiquement protégé à la modification ou à l'annulation des décisions querellées (art. 382 al. 1 CPP).</w:t>
      </w:r>
    </w:p>
    <w:p>
      <w:r>
        <w:rPr>
          <w:b/>
        </w:rPr>
        <w:t>E. 1.2</w:t>
      </w:r>
    </w:p>
    <w:p>
      <w:r>
        <w:t>En tant qu'ils sont tous les deux dirigés contre son maintien en détention, il se justifie de les joindre et de les traiter dans un seul arrêt.</w:t>
      </w:r>
    </w:p>
    <w:p>
      <w:r>
        <w:rPr>
          <w:b/>
        </w:rPr>
        <w:t>E. 2</w:t>
      </w:r>
    </w:p>
    <w:p>
      <w:r>
        <w:t>Le recourant conteste l'existence de charges suffisantes.</w:t>
      </w:r>
    </w:p>
    <w:p>
      <w:r>
        <w:rPr>
          <w:b/>
        </w:rPr>
        <w:t>E. 2.1</w:t>
      </w:r>
    </w:p>
    <w:p>
      <w:r>
        <w:t>À teneur de l'art. 221 al. 1 première phrase CPP, la détention provisoire ne peut être ordonnée que lorsque le prévenu est fortement soupçonné d'avoir commis un crime ou un délit. En d'autres termes, pour qu'une personne soit placée en détention préventive, il doit exister à son égard des charges suffisantes ou des indices sérieux de culpabilité, c'est-à-dire des raisons plausibles de la soupçonner d'avoir commis une infraction. Il n'appartient cependant pas au juge de la détention de procéder à une pesée complète des éléments à charge et à décharge et d'apprécier la crédibilité des personnes qui mettent en cause le prévenu. Il doit uniquement examiner s'il existe des indices sérieux de culpabilité justifiant une telle mesure. L'intensité des charges propres à motiver un maintien en détention préventive n'est pas la même aux divers stades de l'instruction pénale ; si des soupçons, même encore peu précis, peuvent être suffisants dans les premiers temps de l'enquête (cf. arrêt du</w:t>
      </w:r>
    </w:p>
    <w:p>
      <w:r>
        <w:t>- 9/13 - P/22253/2021 Tribunal fédéral 1B_215/2014 du 4 juillet 2014 consid. 3.2), la perspective d'une condamnation doit apparaître vraisemblable après l'accomplissement des actes d'instruction envisageables (ATF 137 IV 122 consid. 3.2; 116 Ia 143 consid. 3c).</w:t>
      </w:r>
    </w:p>
    <w:p>
      <w:r>
        <w:rPr>
          <w:b/>
        </w:rPr>
        <w:t>E. 2.2</w:t>
      </w:r>
    </w:p>
    <w:p>
      <w:r>
        <w:t>Le recourant conteste être l'auteur des infractions au patrimoine qui lui sont reprochées. Il convient de relever qu'il n'est pas prévenu de l'infraction liée à la commande du mois de septembre 2019 au nom de D______. La police estime que le prévenu serait l'auteur des infractions reprochées par le lien qu'elle fait entre le numéro de téléphone (+41 3______) utilisé pour la commande précitée et une commande visée dans les infractions reprochées, les nombreuses commandes envoyées à l'avenue 4______ et le nom du recourant utilisé à plusieurs reprises pour des commandes à cette adresse (une infraction achevée et plusieurs tentatives). Certes, le lien entre le numéro de raccordement du recourant et la commande faite au nom de son ex-compagne en septembre 2019 ne peut, en l'état, être établi. En effet, cette dernière a déclaré ne pas connaître le numéro de téléphone du prévenu, qu'elle avait perdu de vue en novembre 2018, et la plainte versée à la procédure ne mentionne pas le numéro utilisé pour effectuer la commande litigieuse. La police a appelé, en août 2021, le prévenu sur ce raccordement, sans que l'on sache comment elle a obtenu ce numéro; le recourant précise d'ailleurs être titulaire de ce raccordement depuis février 2021. Le lien entre cette commande, de chaussure de grande pointure, et le recourant repose sur le seul soupçon de D______. Cependant, il y a d'autres éléments. Le recourant a vécu dans la maison abandonnée de l'avenue 4______ et le nom de A______, avec trois autres noms, a été marqué sur la boîte aux lettres. Les mentions A______ (ou ______), 11______@gmx.ch, avenue 4______ et 16______ont été utilisées à 6 reprises entre les 2 et 11 mai 2021; ce raccordement est, selon le rapport de police, attribué à AF_____ à ______[Argovie]. En outre, le raccordement du recourant (+41 3______) a été utilisé pour la commande faite, le 25 mars 2021, au nom de N______, avenue 4______, 12______@outlook.com. Ainsi, quand bien même, dans ce genre de commande frauduleuse, les nom, adresse email et numéro de téléphone fournis lors de la création du compte client ne sont pas des informations fiables dans la mesure où elles ne sont pas vérifiées et peuvent donc être fictives, le lieu de livraison reste l'élément réel en ce que c'est là que l'auteur de la commande réceptionne la marchandise. Les soupçons pesant sur le recourant se recoupent sur plusieurs éléments – nom, adresse de livraison, numéro de raccordement – qui, pris individuellement</w:t>
      </w:r>
    </w:p>
    <w:p>
      <w:r>
        <w:t>- 10/13 - P/22253/2021 n'apparaissent pas convaincants, mais ensemble sont suffisants à ce stade de la procédure.</w:t>
      </w:r>
    </w:p>
    <w:p>
      <w:r>
        <w:rPr>
          <w:b/>
        </w:rPr>
        <w:t>E. 3</w:t>
      </w:r>
    </w:p>
    <w:p>
      <w:r>
        <w:t>Le recourant semble contester le risque de fuite.</w:t>
      </w:r>
    </w:p>
    <w:p>
      <w:r>
        <w:rPr>
          <w:b/>
        </w:rPr>
        <w:t>E. 3.1</w:t>
      </w:r>
    </w:p>
    <w:p>
      <w:r>
        <w:t>Conformément à l'art. 221 al. 1 let. a CPP, la détention provisoire peut être ordonnée s'il y a sérieusement lieu de craindre que le prévenu se soustraie à la procédure pénale ou à la sanction prévisible en prenant la fuite. Selon la jurisprudence, le risque de fuite doit s'analyser en fonction d'un ensemble de critères, tels que le caractère de l'intéressé, sa moralité, ses ressources, ses liens avec l'État qui le poursuit ainsi que ses contacts à l'étranger, qui font apparaître le risque de fuite non seulement possible, mais également probable. La gravité de l'infraction ne peut pas, à elle seule, justifier le placement ou le maintien en détention, même si elle permet souvent de présumer un danger de fuite en raison de l'importance de la peine dont le prévenu est menacé (ATF 145 IV 503 consid. 2.2; 143 IV 160 consid. 4.3).</w:t>
      </w:r>
    </w:p>
    <w:p>
      <w:r>
        <w:rPr>
          <w:b/>
        </w:rPr>
        <w:t>E. 3.2</w:t>
      </w:r>
    </w:p>
    <w:p>
      <w:r>
        <w:t>De nationalité guinéenne, le recourant n'a ni autorisation de travailler ni domicile ni famille en Suisse; il n'a pas répondu favorablement à la demande de la police de se présenter au poste et n'a été arrêté qu'à la suite d'un mandat en ce sens. Le risque est donc grand et effectif que, dans la perspective du jugement à venir, il décide, pour échapper à l'éventuelle condamnation, de quitter la Suisse voire d'entrer dans la clandestinité. C'est donc à bon droit que le risque de fuite a été retenu par l'autorité précédente.</w:t>
      </w:r>
    </w:p>
    <w:p>
      <w:r>
        <w:rPr>
          <w:b/>
        </w:rPr>
        <w:t>E. 4</w:t>
      </w:r>
    </w:p>
    <w:p>
      <w:r>
        <w:t>Le risque de fuite étant réalisé, l'autorité de recours peut se dispenser d'examiner si le risque de collusion et de réitération – alternatifs – le sont également (arrêt du Tribunal fédéral 1B_322/2019 du 17 juillet 2019 consid. 3.3 et la jurisprudence citée).</w:t>
      </w:r>
    </w:p>
    <w:p>
      <w:r>
        <w:rPr>
          <w:b/>
        </w:rPr>
        <w:t>E. 5</w:t>
      </w:r>
    </w:p>
    <w:p>
      <w:r>
        <w:t>Le recourant assure, pour pallier le risque de fuite, qu'il restera à disposition de la justice. Un tel engagement n'est à l'évidence pas suffisant, considérant l'importance de la sanction qu’il encourt au regard des faits qui lui sont reprochés.</w:t>
      </w:r>
    </w:p>
    <w:p>
      <w:r>
        <w:rPr>
          <w:b/>
        </w:rPr>
        <w:t>E. 6.1</w:t>
      </w:r>
    </w:p>
    <w:p>
      <w:r>
        <w:t>Le principe de la proportionnalité implique que la détention provisoire soit en adéquation avec la gravité du délit et la sanction prévisible (ATF 142 IV 389 consid. 4.1).</w:t>
      </w:r>
    </w:p>
    <w:p>
      <w:r>
        <w:rPr>
          <w:b/>
        </w:rPr>
        <w:t>E. 6.2</w:t>
      </w:r>
    </w:p>
    <w:p>
      <w:r>
        <w:t>En l'espèce, la durée de la détention du recourant, qui a commencé le 14 février 2022, n’a pas franchi de seuil critique, au regard des infractions retenues contre lui.</w:t>
      </w:r>
    </w:p>
    <w:p>
      <w:r>
        <w:t>- 11/13 - P/22253/2021 Cela étant, il conviendra que le Procureur termine son instruction et renvoie le prévenu en jugement dans le délai accordé par le TMC.</w:t>
      </w:r>
    </w:p>
    <w:p>
      <w:r>
        <w:rPr>
          <w:b/>
        </w:rPr>
        <w:t>E. 7</w:t>
      </w:r>
    </w:p>
    <w:p>
      <w:r>
        <w:t>Le recours s'avère ainsi infondé et doit être rejeté.</w:t>
      </w:r>
    </w:p>
    <w:p>
      <w:r>
        <w:rPr>
          <w:b/>
        </w:rPr>
        <w:t>E. 8</w:t>
      </w:r>
    </w:p>
    <w:p>
      <w:r>
        <w:t>Le recourant, qui succombe, supportera les frais envers l'État, fixés en totalité à CHF 900.- (art. 428 al. 1 CPP et 13 al. 1 du Règlement fixant le tarif des frais en matière pénale, RTFMP ; E 4 10.03).</w:t>
      </w:r>
    </w:p>
    <w:p>
      <w:r>
        <w:rPr>
          <w:b/>
        </w:rPr>
        <w:t>E. 9</w:t>
      </w:r>
    </w:p>
    <w:p>
      <w:r>
        <w:t>Le recourant est au bénéfice d'une défense d'office. Cependant, l'avocat nommé n'a pas fourni de prestation justifiant une indemnité pour la procédure de recours. * * * * *</w:t>
      </w:r>
    </w:p>
    <w:p>
      <w:r>
        <w:t>- 12/13 - P/22253/2021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