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ACPR/342/2026 vom 7. April 2026</w:t>
      </w:r>
    </w:p>
    <w:p>
      <w:r>
        <w:t>GE Cour de justice, 2026-04-07, FR</w:t>
      </w:r>
    </w:p>
    <w:p>
      <w:r>
        <w:rPr>
          <w:b/>
        </w:rPr>
        <w:t xml:space="preserve">Quelle: </w:t>
      </w:r>
      <w:r>
        <w:t>https://mcp.opencaselaw.ch/entscheid/ge_gerichte_ACPR_342_2026</w:t>
      </w:r>
    </w:p>
    <w:p>
      <w:r>
        <w:t>FR: GE_GERICHTE ACPR/342/2026 du 7 avril 2026</w:t>
      </w:r>
    </w:p>
    <w:p>
      <w:r>
        <w:t>IT: GE_GERICHTE ACPR/342/2026 del 7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l’art. 29 al. 2 Cst. en ce que l’ordonnance querellée serait motivée de manière insuffisante.</w:t>
      </w:r>
    </w:p>
    <w:p>
      <w:r>
        <w:rPr>
          <w:b/>
        </w:rPr>
        <w:t>E. 3.1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3.2</w:t>
      </w:r>
    </w:p>
    <w:p>
      <w:r>
        <w:t>En l'espèce, l'ordonnance querellée a été suffisamment motivée, le Ministère public y ayant indiqué les raisons l'ayant conduit à ordonner l'établissement du profil d'ADN du recourant, à savoir que ce dernier avait déjà été soupçonné d’infractions à l’art. 19 al. 1 LStup. Une telle motivation apparaît suffisante. Le recourant l'a, du reste, parfaitement comprise puisqu'il a été en mesure de critiquer utilement la décision. Partant, ce grief sera rejeté.</w:t>
      </w:r>
    </w:p>
    <w:p>
      <w:r>
        <w:rPr>
          <w:b/>
        </w:rPr>
        <w:t>E. 4</w:t>
      </w:r>
    </w:p>
    <w:p>
      <w:r>
        <w:t>Le recourant s’oppose à l’établissement de son profil d’ADN.</w:t>
      </w:r>
    </w:p>
    <w:p>
      <w:r>
        <w:rPr>
          <w:b/>
        </w:rPr>
        <w:t>E. 4.1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- 5/10 - P/23405/2025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4.2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4.3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4.4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4.5</w:t>
      </w:r>
    </w:p>
    <w:p>
      <w:r>
        <w:t>En l’espèce, l’établissement du profil d’ADN du recourant a été ordonné pour élucider, non pas les infractions en cours d’instruction, mais d’autres actes constitutifs de délit à la LStup, dès lors qu’il avait déjà été soupçonné pour des faits similaires.</w:t>
      </w:r>
    </w:p>
    <w:p>
      <w:r>
        <w:t>- 6/10 - P/23405/2025 Le recourant ne prétend pas, à juste titre, que les conditions de l’art. 255 al. 1bis CPP ne seraient pas réalisées. Le recourant faisait en effet, au moment de l’établissement de son profil d’ADN, déjà l’objet de deux procédures pénales ouvertes, jointes sous le numéro de procédure P/27377/2025, notamment, pour infractions à la LStup. Il a par ailleurs déjà été condamné à quatre reprises depuis 2019 pour des infractions à cette même loi. Dans le cadre de la présente procédure, il a été contrôlé en possession de divers stupéfiants, ce qu’il ne conteste pas, dans un lieu connu pour le trafic de ces substances, et sans être en mesure d’expliquer la raison de cette détention, pas plus que d’une balance électronique. S’y ajoutent que le recourant déclare être sans emploi et que les explications qu’il a données sur l’origine de l’argent – CHF 130.95 – qu’il détenait sont inconstantes et non étayées. Ces éléments laissent ainsi très sérieusement craindre un ancrage dans la délinquance liée aux stupéfiants et permettent de penser que l'intéressé pourrait être impliqué dans d'autres infractions à la LStup encore inconnues des autorités, lesquelles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ne s’était jamais vu reprocher des infractions autres qu’à la LEI, contrairement au recourant. De plus, ici, la présence du recourant dans un quartier notoirement connu pour le trafic de stupéfiants est de nature à interpeller, ce d'autant qu’il a été contrôlé en possession de différents stupéfiants ainsi que d’une balance électronique et n’a pas expliqué de manière crédible la provenance des espèces dont il était porteur, ce qui renforce le soupçon qu’il pourrait s’adonner régulièrement à du trafic de stupéfiants.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w:t>
      </w:r>
    </w:p>
    <w:p>
      <w:r>
        <w:t>- 7/10 - P/23405/2025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10 ou 20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une nouvelle infraction pour laquelle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w:t>
      </w:r>
    </w:p>
    <w:p>
      <w:r>
        <w:t>- 8/10 - P/23405/2025 l'art. 353 al. 1 let. fbis CPP, cette ordonnance, du 10 mars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5</w:t>
      </w:r>
    </w:p>
    <w:p>
      <w:r>
        <w:t>Justifiée, l'ordonnance querellée sera donc confirmée.</w:t>
      </w:r>
    </w:p>
    <w:p>
      <w:r>
        <w:rPr>
          <w:b/>
        </w:rPr>
        <w:t>E. 6</w:t>
      </w:r>
    </w:p>
    <w:p>
      <w:r>
        <w:t>Le recourant, qui succombe, supportera les frais envers l'État, fixés en totalité à CHF 600.- (art. 428 al. 1 CPP et 13 al. 1 du Règlement fixant le tarif des frais en matière pénale, RTFMP; E 4 10.03).</w:t>
      </w:r>
    </w:p>
    <w:p>
      <w:r>
        <w:rPr>
          <w:b/>
        </w:rPr>
        <w:t>E. 7</w:t>
      </w:r>
    </w:p>
    <w:p>
      <w:r>
        <w:t>Corrélativement, aucun dépens ne lui sera alloué (ATF 144 IV 207, consid. 1.8.2). * * * * *</w:t>
      </w:r>
    </w:p>
    <w:p>
      <w:r>
        <w:t>- 9/10 - P/23405/2025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