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ACPR/342/2025 vom 18. Februar 2025</w:t>
      </w:r>
    </w:p>
    <w:p>
      <w:r>
        <w:t>GE Cour de justice, 2025-02-18, FR</w:t>
      </w:r>
    </w:p>
    <w:p>
      <w:r>
        <w:rPr>
          <w:b/>
        </w:rPr>
        <w:t xml:space="preserve">Quelle: </w:t>
      </w:r>
      <w:r>
        <w:t>https://mcp.opencaselaw.ch/entscheid/ge_gerichte_ACPR_342_2025</w:t>
      </w:r>
    </w:p>
    <w:p>
      <w:r>
        <w:t>FR: GE_GERICHTE ACPR/342/2025 du 18 février 2025</w:t>
      </w:r>
    </w:p>
    <w:p>
      <w:r>
        <w:t>IT: GE_GERICHTE ACPR/342/2025 del 18 febbraio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3.1.1.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Bâle 2019, n. 8 ad art. 310). Un refus d'entrer en matière n'est possible que lorsque la situation est claire, en fait et en droit. En cas de doutes, ou lorsque l'acte dénoncé a eu des incidences graves (par exemple en présence de lésions corporelles graves), une instruction doit en principe être ouverte, quand bien même elle devrait ultérieurement s'achever par un classement (ATF 143 IV 241 consid. 2.2.1 ; 138 IV 86 consid. 4.1 ; 137 IV 219 consid. 7 ; arrêt du Tribunal fédéral 1B_454/2011 du 6 décembre 2011 consid. 3.2). 3.1.2. L'art. 310 al. 1 let. c cum 8 al. 1 CPP prévoit quant à lui que le ministère public renonce à toute poursuite pénale et rende une ordonnance de non-entrée en matière, notamment lorsque les conditions visées à l'art. 52 CP sont remplies. Aux termes de cette disposition, l'autorité compétente renonce à poursuivre l'auteur, à le renvoyer</w:t>
      </w:r>
    </w:p>
    <w:p>
      <w:r>
        <w:t>- 5/9 - P/29506/2024 devant le juge ou à lui infliger une peine, si tant sa culpabilité que les conséquences de son acte sont de peu d'importance. Pour décider si les infractions pour lesquelles la culpabilité et les conséquences de l'acte sont de peu d'importance, les autorités compétentes doivent apprécier chaque cas particulier en fonction du cas normal de l'infraction définie par le législateur ; on ne saurait en effet annuler par une disposition générale toutes les peines mineures prévues par la loi. Il faut qu'une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que l'infliction d'une sanction pénale paraîtrait injustifiée, tant du point de vue de la prévention générale que de celui de la prévention spéciale (ACPR/263/2025 du 3 avril 2025 consid. 3.2. ; M. DUPUIS / L. MOREILLON / C. PIGUET / S. BERGER / M. MAZOU / V. RODIGARI [éds], Code pénal - Petit commentaire, 2ème éd., Bâle 2017, n. 3 ad art. 52). Tel est le cas si, dans l'affaire concernée, la culpabilité et le résultat se trouvent être en deçà de ceux ordinairement envisagés pour l'infraction en cause (arrêt du Tribunal fédéral 6B_197/2023 du 2 avril 2024 consid. 6.1.1). 3.2.1. Se rend coupable de diffamation quiconque, en s’adressant à un tiers, accuse une personne ou jette sur elle le soupçon de tenir une conduite contraire à l’honneur, ou de tout autre fait propre à porter atteinte à sa considération, quiconque propage une telle accusation ou un tel soupçon (art. 173 ch. 1 CP). Se rend coupable de calomnie quiconque, connaissant la fausseté de ses allégations et en s’adressant à un tiers, accuse une personne ou jette sur elle le soupçon de tenir une conduite contraire à l’honneur, ou de tout autre fait propre à porter atteinte à sa considération, quiconque propage de telles accusations ou de tels soupçons, alors qu’il en connaît l’inanité (art. 174 ch. 1 CP). Se rend encore coupable d'injure quiconque, de toute autre manière, attaque autrui dans son honneur par la parole, l’écriture, l’image, le geste ou par des voies de fait (art. 177 al. 1 CP). Dans le cas de l'injure, l'auteur peut s'adresser à la personne visée directement ou à un tiers en parlant d'elle (ATF 145 IV 462 consid. 4.2.4). Enfin, l'art. 179quater al. 1 CP réprime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3.2.2. Les délits contre l'honneur sont consommés dès qu'un tiers prend connaissance de la déclaration portant atteinte à l'honneur (ATF 103 IV 22 consid. 7 p. 23 ; arrêts du Tribunal fédéral 6B_491/2013 du 4 février 2014 consid. 5.2.1 et 6B_106/2012 du 26 septembre 2012 consid. 4). Est en principe considéré comme tiers toute personne autre que l'auteur et l'objet des propos qui portent atteinte à l'honneur (ATF 86 IV 209).</w:t>
      </w:r>
    </w:p>
    <w:p>
      <w:r>
        <w:t>- 6/9 - P/29506/2024 La jurisprudence a laissé indécise la question dite du "confident nécessaire" concernant la qualité de tiers des membres du cercle familial étroit et des personnes astreintes au secret professionnel au sens de l'art. 321 CP (arrêts du Tribunal fédéral 6B_512/2017 du 12 février 2018 consid. 3.3.1 ; 6B_69/2016 du 29 septembre 2016 consid. 2.1.1 ; 6B_229/2016 du 8 juin 2016 consid. 1.1). Le Tribunal fédéral a toutefois considéré un médecin et un avocat comme des confidents nécessaires et admis qu'ils ne sont pas des tiers (arrêt du Tribunal fédéral 6S.608/1991 du 24 janvier 1992 ; arrêt non publié du 11 juillet 1957 cité in ATF 86 IV 209). Dans un arrêt plus récent (ATF 145 IV 462 consid. 4.3.3), le Tribunal a retenu que l'avocat revêt en principe la position de tiers mais que le sens de propos tenus à un avocat ne saurait être apprécié de la même manière que celui de déclarations exprimées à l'égard de n'importe quel autre tiers. Aussi, pour ne pas compromettre l'exercice d'une communication libre et spontanée entre avocat et client, il se justifie, dans un tel contexte, de n'admettre une atteinte à l'honneur qu'avec retenue. Tel peut en particulier être le cas lorsque les propos en cause n'ont pas de lien avec l'affaire dans laquelle intervient l'avocat et que ceux-ci ne tendent en définitive qu'à exposer la personne visée au mépris (ATF 148 IV 409 consid. 2.3.3 ; arrêt du Tribunal fédéral 6B_471/2024 du 6 janvier 20205 consid. 4.2). Quant à la doctrine, la majorité des auteurs estiment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l'art. 321 CP (voir arrêts du Tribunal fédéral 6B_185/2011 du 22 décembre 2011 consid. 6.2 et 6S.3/2007 du 13 février 2007 consid. 4.3 et les références citées). D'autres auteurs notent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(STRATENWERTH/JENNY/ BOMMER, Schweizerisches Strafrecht, Bes. Teil. I, 7e éd. 2010, § 11 n. 25; voir aussi SCHUBARTH, Kommentar zum schweizerischen Strafrecht, Bes. Teil, 3. Band, Berne 1984, art. 173 CP n. 34 ss; TRECHSEL et al., Schweizerisches Strafgesetzbuch, Praxiskommentar 2008, art. 173, n. 4s.). Enfin, dans le cadre d'un procès, une atteinte à l'honneur ne doit être admise que restrictivement, surtout si les propos litigieux ne s'adressent qu'aux membres d'une autorité judiciaire, qui sont à même de faire la part des choses (ACPR/204/2013 du 10 mai 2013 consid. 6.1; B. CORBOZ, La diffamation in SJ 1992 p. 646; LU : II. K. 22.02.2005; LGVE 2005 I no 55). 3.3.1. En l'espèce, le Ministère public a décidé de ne pas entrer en matière sur la plainte en lien avec les propos tenus par la sœur du recourant devant la police et le Ministère public, au motif qu'ils avaient eu pour destinataires des personnes soumises au secret de fonction.</w:t>
      </w:r>
    </w:p>
    <w:p>
      <w:r>
        <w:t>- 7/9 - P/29506/2024 Sur ce point, et avec la doctrine majoritaire, il faut retenir que les propos en cause ont été tenus devant des autorités astreintes au secret de fonction. En conséquence, il s'agissait d'un cercle de personnes limité. Ces propos avaient en outre un lien avec le litige familial faisant précisément l'objet de la procédure en cours. La jurisprudence citée par le recourant (arrêt du Tribunal fédéral 6B_512/2017 du 12 février 2018 consid 3.3.1) se réfère précisément à la doctrine majoritaire rappelée plus haut. Dès lors, un des éléments constitutifs des infractions contre l'honneur pouvant entrer en ligne de compte fait défaut. Le Ministère public retient également le contexte dans lequel ont été tenus les propos en cause, soit un conflit entre un frère et une sœur qui fait l'objet d'une procédure pénale. Il peut être suivi, d'autant que ces propos ont été tenus dans le cadre d'une procédure pénale en cours, cadre dans lequel une atteinte à l'honneur ne doit être admise que restrictivement. 3.3.2. S'agissant de l'enregistrement vidéo, conformément aux principes et à la jurisprudence rappelés plus haut, c'est à juste titre que le Ministère public a décidé de ne pas entrer en matière en se basant sur l'art. 52 CP. En effet, cet enregistrement s'inscrit dans le cadre d'un litige entre un frère et une sœur. Il n'a causé aucun préjudice sensible au recourant, ce qu'il n'allègue d'ailleurs pas. En conséquence, le simple désagrément dont il se plaint paraît objectivement de peu d'importance. Même dans le contexte dans lequel il s'inscrit, ce seul enregistrement éventuellement pénalement relevant n'apparaît, partant, important ni du point de vue de la culpabilité ni au regard de ses conséquences. 3.3.3. À la lumière de ce qui précède, c'est à bon droit que le Ministère public a décidé de ne pas entrer en matière sur les faits visés par la plainte du recourant.</w:t>
      </w:r>
    </w:p>
    <w:p>
      <w:r>
        <w:rPr>
          <w:b/>
        </w:rPr>
        <w:t>E. 3.4</w:t>
      </w:r>
    </w:p>
    <w:p>
      <w:r>
        <w:t>On ne distingue enfin pas d'actes d'instruction susceptibles d'aboutir à une solution différente. Le recourant n'en mentionne d'ailleurs aucun.</w:t>
      </w:r>
    </w:p>
    <w:p>
      <w:r>
        <w:rPr>
          <w:b/>
        </w:rPr>
        <w:t>E. 4</w:t>
      </w:r>
    </w:p>
    <w:p>
      <w:r>
        <w:t>Justifiée, l'ordonnance querellée sera donc confirmée.</w:t>
      </w:r>
    </w:p>
    <w:p>
      <w:r>
        <w:rPr>
          <w:b/>
        </w:rPr>
        <w:t>E. 5</w:t>
      </w:r>
    </w:p>
    <w:p>
      <w:r>
        <w:t>Le recourant qui succombe, supportera les frais envers l'État, qui seront arrêtés en totalité à CHF 1'200.- (art. 428 al. 1 CPP et 13 al. 1 du Règlement fixant le tarif des frais en matière pénale, RTFMP ; E 4 10.03), montant qui sera prélevé sur les sûretés versées. * * * * *</w:t>
      </w:r>
    </w:p>
    <w:p>
      <w:r>
        <w:t>- 8/9 - P/29506/2024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