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ACPR/341/2026 vom 2. April 2026</w:t>
      </w:r>
    </w:p>
    <w:p>
      <w:r>
        <w:t>GE Cour de justice, 2026-04-02, FR</w:t>
      </w:r>
    </w:p>
    <w:p>
      <w:r>
        <w:rPr>
          <w:b/>
        </w:rPr>
        <w:t xml:space="preserve">Quelle: </w:t>
      </w:r>
      <w:r>
        <w:t>https://mcp.opencaselaw.ch/entscheid/ge_gerichte_ACPR_341_2026</w:t>
      </w:r>
    </w:p>
    <w:p>
      <w:r>
        <w:t>FR: GE_GERICHTE ACPR/341/2026 du 2 avril 2026</w:t>
      </w:r>
    </w:p>
    <w:p>
      <w:r>
        <w:t>IT: GE_GERICHTE ACPR/341/2026 del 2 aprile 2026</w:t>
      </w:r>
    </w:p>
    <w:p>
      <w:pPr>
        <w:pStyle w:val="Heading2"/>
      </w:pPr>
      <w:r>
        <w:t>Erwägungen</w:t>
      </w:r>
    </w:p>
    <w:p>
      <w:r>
        <w:rPr>
          <w:b/>
        </w:rPr>
        <w:t>E. 1.1</w:t>
      </w:r>
    </w:p>
    <w:p>
      <w:r>
        <w:t>En tant qu’il vise l’ordonnance du TMC du 3 mars 2026, 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- 10/18 - P/18837/2024</w:t>
      </w:r>
    </w:p>
    <w:p>
      <w:r>
        <w:rPr>
          <w:b/>
        </w:rPr>
        <w:t>E. 1.2</w:t>
      </w:r>
    </w:p>
    <w:p>
      <w:r>
        <w:t>En tant qu’il contient une conclusion fondée sur l’art. 226 al. 4 CPP, la recevabilité du recours doit être examinée au regard des art. 226 al. 4 et 227 al 5 CPP. Or les injonctions prévues par ces dispositions de procédure n'ont pas de caractère impératif, leur inobservation pouvant éventuellement conduire ensuite le juge de la détention à refuser de prolonger la détention provisoire (Y. JEANNERET/ A. KUHN/ C. PERRIER DEPEURSINGE (éds), Commentaire romand : Code de procédure pénale suisse, 2ème éd., Bâle 2019, n. 18 ad art. 226). Cela étant, même si le tribunal des mesures de contrainte émettait ce qui n'est, en définitive, qu'un vœu ou une recommandation, les parties ne pourraient pas en tirer de prétention leur ouvrant la voie du recours (N. SCHMID, Schweizerische Strafprozessordnung : Praxiskommentar, 2e éd., Zurich 2013 n. 9 ad art. 227). La question de la recevabilité du grief pourra cependant rester ouverte au vu des considérants qui suivent (cf. infra consid. 6.).</w:t>
      </w:r>
    </w:p>
    <w:p>
      <w:r>
        <w:rPr>
          <w:b/>
        </w:rPr>
        <w:t>E. 2</w:t>
      </w:r>
    </w:p>
    <w:p>
      <w:r>
        <w:t>Le recourant conteste l’existence de charges graves et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charges concernant la plaignante D______ ont déjà été examinées par le TMC à plusieurs reprises et ont fondé la mise en détention provisoire du recourant puis les mesures de substitution ordonnées à son encontre, sans que les diverses décisions rendues n’aient été contestées. Ainsi, les différents arguments exposés par le recourant au sujet de ces charges, relatifs à des éléments figurant au dossier avant sa mise en prévention complémentaire, notamment le rapport du CURML du 14 février 2025, ne lui sont donc d’aucun secours et devront être réservés à l’autorité de poursuite ou au juge du fond. Quant aux charges en lien avec les faits dénoncés par la plaignante C______, elles ont déjà été tenues pour graves et suffisantes par le TMC dans ses ordonnances des 8 décembre 2025 et 3 février 2026, non contestées par le recourant. Les seuls éléments</w:t>
      </w:r>
    </w:p>
    <w:p>
      <w:r>
        <w:t>- 11/18 - P/18837/2024 nouveaux au dossier sont les échanges produits par la seconde plaignante le 5 février 2026, le rapport du CURML du 3 février 2026 ainsi que, désormais, le procès-verbal de l’audience d’audition de témoins du 26 mars 2026. Or, le fait qu’aucune lésion traumatique pouvant entrer en lien chronologique avec les faits n’ait été constatée ne suffit pas, au vu des autres circonstances ressortant du dossier, pour lever les soupçons retenus jusqu’ici. Quant aux messages produits, s’ils permettent d’établir ce que les deux intéressés se sont écrit, ils n’éclairent en rien le déroulement des faits dans le logement du prévenu. Enfin, les témoignages désormais recueillis confirment que C______ a, alors qu’elle se trouvait encore en compagnie du recourant, contacté sa meilleure amie laquelle avait par la suite vu qu’elle avait des hématomes – très légers – sur une des deux joues, ce dont la mère du témoin n’a en revanche pas de souvenir. Il sera pour le surplus rappelé qu’il ne revient pas au juge de la détention de procéder à une pesée complète des éléments du dossier ni d’apprécier la crédibilité des plaignantes, tâche qui incombe au juge du fond. Ainsi, les soupçons pesant sur le recourant paraissent toujours plausibles et vraisemblables, ce qui suffit à retenir l’existence d’indices sérieux de culpabilité à son encontre.</w:t>
      </w:r>
    </w:p>
    <w:p>
      <w:r>
        <w:rPr>
          <w:b/>
        </w:rPr>
        <w:t>E. 3</w:t>
      </w:r>
    </w:p>
    <w:p>
      <w:r>
        <w:t>Le recourant conteste l’existence d’un risque de fuite, à tout le moins qui ne puisse être pallié par des mesures de substitution. 3.1.1.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3.1.2. 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 liste des mesures de substitution énoncée à l'art. 237 CPP n'est pas exhaustive (arrêt du Tribunal fédéral 1B_654/2011 du 7 décembre 2011 consid. 4.2). À teneur de l'art. 238 CPP, le tribunal peut, en particulier, s'il y a danger de fuite, astreindre le prévenu au versement d'une somme d'argent afin de garantir qu'il se</w:t>
      </w:r>
    </w:p>
    <w:p>
      <w:r>
        <w:t>- 12/18 - P/18837/2024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1P_690/2004 du 14 décembre 2004 consid. 2.4.3 et les références).</w:t>
      </w:r>
    </w:p>
    <w:p>
      <w:r>
        <w:rPr>
          <w:b/>
        </w:rPr>
        <w:t>E. 3.2</w:t>
      </w:r>
    </w:p>
    <w:p>
      <w:r>
        <w:t>En l’espèce, quoi qu’en pense le recourant, un risque de fuite a été retenu de manière constante depuis le mois d’août 2024, fondant son arrestation provisoire puis les mesures de substitution prononcées dès le 4 septembre 2024, puis son nouveau placement en détention provisoire dès le 8 décembre 2025. Il y a d’ailleurs lieu de retenir que ce risque est désormais renforcé du fait des nouvelles accusations portées contre lui, lesquelles entrainent une aggravation de la peine susceptible d’être prononcée à son encontre si tous les faits devaient être tenus pour établis, ces accusations compromettant par ailleurs considérablement ses perspectives en Suisse. Aussi, si ce risque a été considéré comme pouvant être pallié par des mesures de substitution lorsque seul le premier complexe de faits était reproché au recourant, tel n’est plus le cas désormais, comme retenu par le TMC les 8 décembre 2025 et 3 février 2026, dans deux ordonnances que le recourant n’a pas contestées. Quant à la caution désormais proposée – CHF 20'000.- versés par un tiers – , elle ne constitue pas une mesure de substitution efficace en tant qu'elle n'empêcherait pas la fuite de l'intéressé mais ne permettrait que de la constater a posteriori, ce d’autant que le recourant conteste les charges élevées pesant à son encontre. Si le recourant allègue des liens étroits avec sa famille d’accueil, le versement d’une caution, dont le montant ne peut être guère évalué faute de renseignements suffisants sur la situation financière du tiers qui s’en acquitterait, ne constituerait pas un frein suffisant au vu du caractère élevé du risque en cause.</w:t>
      </w:r>
    </w:p>
    <w:p>
      <w:r>
        <w:rPr>
          <w:b/>
        </w:rPr>
        <w:t>E. 4</w:t>
      </w:r>
    </w:p>
    <w:p>
      <w:r>
        <w:t>Le recourant conteste le risque de collusion.</w:t>
      </w:r>
    </w:p>
    <w:p>
      <w:r>
        <w:t>- 13/18 - P/18837/2024</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comme retenu dans les dernières ordonnances - non contestées - du TMC, ce risque est élevé. Si la seconde plaignante a déjà été entendue en confrontation, de même que les témoins convoqués le 26 mars dernier, il apparaît que le résultat des écoutes rétroactives n’est pas encore connu et que le recourant annonce lui-même avoir possiblement d’autres actes d’instruction à solliciter. Le recourant conteste les faits – graves – qui lui sont nouvellement reprochés et, comme indiqué supra, la peine menace et les conséquences possibles des accusations sur ses perspectives en Suisse sont importantes. Même s’il a effectivement demandé, depuis le 19 décembre 2025, que soient recherchées des preuves permettant d’établir les déplacements effectués le 27 septembre 2025, il est essentiel qu’il ne puisse entrer en contact avec la plaignante ou les témoins (ceux qui pourraient encore être cités et ceux déjà entendus dont la comparution pourrait être demandée en audience de jugement) pour tenter d’entraver la manifestation de la vérité. Aucune mesure de substitution n’apparaît propre à pallier ce risque, le recourant n’en proposant du reste pas.</w:t>
      </w:r>
    </w:p>
    <w:p>
      <w:r>
        <w:rPr>
          <w:b/>
        </w:rPr>
        <w:t>E. 5</w:t>
      </w:r>
    </w:p>
    <w:p>
      <w:r>
        <w:t>Le recourant conteste enfin l’existence d’un risque de réitération.</w:t>
      </w:r>
    </w:p>
    <w:p>
      <w:r>
        <w:rPr>
          <w:b/>
        </w:rPr>
        <w:t>E. 5.1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w:t>
      </w:r>
    </w:p>
    <w:p>
      <w:r>
        <w:t>- 14/18 - P/18837/2024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aCPP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5.3</w:t>
      </w:r>
    </w:p>
    <w:p>
      <w:r>
        <w:t>En l’espèce, le risque de récidive est tangible, nonobstant l’absence d’antécédents, compte tenu de la gravité des actes dont le recourant est soupçonné, soit</w:t>
      </w:r>
    </w:p>
    <w:p>
      <w:r>
        <w:t>- 15/18 - P/18837/2024 des crimes et délits graves contre des biens juridiques particulièrement importants, en l’espèce l’intégrité sexuelle, dont il admet pour l’essentiel la matérialité, sous réserve de l’absence de consentement des victimes. Dans les deux cas, les circonstances étaient les mêmes, soit une victime récemment rencontrée sur les réseaux sociaux, amenée à se rendre chez le recourant avant que celui-ci ne lui impose des actes de nature sexuelle non consentis. Le risque apparaît encore renforcé par la répétition de ces actes. Comme relevé par le Ministère public dans ses observations et précédemment par le TMC dans son ordonnance du 8 décembre 2025, les nouveaux faits se sont produits alors que l’intéressé faisait l’objet d’une procédure pour viol et contrainte sexuelle et qu’un renvoi en jugement était annoncé, qui plus est alors qu’il se trouvait sous mesures de substitution après avoir été détenu provisoirement du 18 août au 4 septembre 2024. Il y a dès lors lieu de craindre un risque de commission de crimes graves du même genre de la part du recourant. Comme retenu par le TMC, ce risque ne peut être pallié par des mesures de substitution, que le recourant ne propose pas spécifiquement en lien avec celui-ci.</w:t>
      </w:r>
    </w:p>
    <w:p>
      <w:r>
        <w:rPr>
          <w:b/>
        </w:rPr>
        <w:t>E. 6</w:t>
      </w:r>
    </w:p>
    <w:p>
      <w:r>
        <w:t>Le recourant invoque dans son recours une violation de l’art. 226 al. 4 CPP en tant que le TMC n’a pas enjoint le Ministère public de chercher et verser au dossier les données rétroactives de son téléphone ainsi que de celui de la plaignante C______. Il n’en parle plus dans sa réplique. Quoi qu’il en soit, la surveillance requise a été ordonnée, laquelle devrait permettre de déterminer la localisation des deux intéressés lorsqu’ils se sont trouvés ensemble le jour des faits, de sorte que le grief est devenu sans objet.</w:t>
      </w:r>
    </w:p>
    <w:p>
      <w:r>
        <w:rPr>
          <w:b/>
        </w:rPr>
        <w:t>E. 7</w:t>
      </w:r>
    </w:p>
    <w:p>
      <w:r>
        <w:t>Enfin, la durée de la détention provisoire du recourant à ce jour demeure proportionnée à la peine concrètement encourue, si l'ensemble des faits qui lui sont reprochés devait être retenu (art. 197 al. 1 et 212 al. 3 CPP).</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w:t>
      </w:r>
    </w:p>
    <w:p>
      <w:r>
        <w:t>- 16/18 - P/18837/2024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d’un premier contrôle de la détention par l’autorité de recours ne procède pas d'un abus. L'indemnité du défenseur d'office sera fixée à la fin de la procédure (art. 135 al. 2 CPP). * * * * *</w:t>
      </w:r>
    </w:p>
    <w:p>
      <w:r>
        <w:t>- 17/18 - P/18837/2024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